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E98A4" w14:textId="77777777" w:rsidR="00C908CA" w:rsidRDefault="00000000">
      <w:pPr>
        <w:pStyle w:val="FirstParagraph"/>
      </w:pPr>
      <w:r>
        <w:t xml:space="preserve"> </w:t>
      </w:r>
    </w:p>
    <w:p w14:paraId="38E27769" w14:textId="77777777" w:rsidR="00C908CA" w:rsidRDefault="00000000">
      <w:pPr>
        <w:pStyle w:val="BodyText"/>
      </w:pPr>
      <w:r>
        <w:t xml:space="preserve"> </w:t>
      </w:r>
    </w:p>
    <w:p w14:paraId="630BDAF2" w14:textId="77777777" w:rsidR="00C908CA" w:rsidRDefault="00000000">
      <w:pPr>
        <w:pStyle w:val="Heading1"/>
      </w:pPr>
      <w:bookmarkStart w:id="0" w:name="title"/>
      <w:r>
        <w:t>Effects of expected and unexpected uncertainty on cue processing</w:t>
      </w:r>
    </w:p>
    <w:p w14:paraId="58DB7404" w14:textId="77777777" w:rsidR="00C908CA" w:rsidRDefault="00000000">
      <w:pPr>
        <w:pStyle w:val="Author"/>
      </w:pPr>
      <w:r>
        <w:t xml:space="preserve"> </w:t>
      </w:r>
    </w:p>
    <w:p w14:paraId="75FEB230" w14:textId="77777777" w:rsidR="00C908CA" w:rsidRDefault="00000000">
      <w:pPr>
        <w:pStyle w:val="Author"/>
      </w:pPr>
      <w:r>
        <w:t>Clara Muñiz-Diez</w:t>
      </w:r>
      <w:r>
        <w:rPr>
          <w:vertAlign w:val="superscript"/>
        </w:rPr>
        <w:t>1</w:t>
      </w:r>
      <w:r>
        <w:t>, Sandra Lagator</w:t>
      </w:r>
      <w:r>
        <w:rPr>
          <w:vertAlign w:val="superscript"/>
        </w:rPr>
        <w:t>2</w:t>
      </w:r>
      <w:r>
        <w:t>, Mark Haselgrove</w:t>
      </w:r>
      <w:r>
        <w:rPr>
          <w:vertAlign w:val="superscript"/>
        </w:rPr>
        <w:t>2</w:t>
      </w:r>
      <w:r>
        <w:t>, and Tom Beesley</w:t>
      </w:r>
      <w:r>
        <w:rPr>
          <w:vertAlign w:val="superscript"/>
        </w:rPr>
        <w:t>1</w:t>
      </w:r>
    </w:p>
    <w:p w14:paraId="4706DB7D" w14:textId="77777777" w:rsidR="00C908CA" w:rsidRDefault="00000000">
      <w:pPr>
        <w:pStyle w:val="Author"/>
      </w:pPr>
      <w:r>
        <w:rPr>
          <w:vertAlign w:val="superscript"/>
        </w:rPr>
        <w:t>1</w:t>
      </w:r>
      <w:r>
        <w:t>Department of Psychology, Lancaster University</w:t>
      </w:r>
    </w:p>
    <w:p w14:paraId="6D1F3495" w14:textId="77777777" w:rsidR="00C908CA" w:rsidRDefault="00000000">
      <w:pPr>
        <w:pStyle w:val="Author"/>
      </w:pPr>
      <w:r>
        <w:rPr>
          <w:vertAlign w:val="superscript"/>
        </w:rPr>
        <w:t>2</w:t>
      </w:r>
      <w:r>
        <w:t>School of Psychology, The University of Nottingham</w:t>
      </w:r>
    </w:p>
    <w:p w14:paraId="613120BA" w14:textId="77777777" w:rsidR="00C908CA" w:rsidRDefault="00000000">
      <w:pPr>
        <w:pStyle w:val="BodyText"/>
      </w:pPr>
      <w:r>
        <w:t xml:space="preserve"> </w:t>
      </w:r>
    </w:p>
    <w:p w14:paraId="34C16F4A" w14:textId="77777777" w:rsidR="00C908CA" w:rsidRDefault="00000000">
      <w:pPr>
        <w:pStyle w:val="BodyText"/>
      </w:pPr>
      <w:r>
        <w:t xml:space="preserve"> </w:t>
      </w:r>
    </w:p>
    <w:p w14:paraId="7BD73D0D" w14:textId="77777777" w:rsidR="00C908CA" w:rsidRPr="00D56862" w:rsidRDefault="00000000">
      <w:pPr>
        <w:pStyle w:val="Heading1"/>
        <w:rPr>
          <w:lang w:val="es-ES"/>
        </w:rPr>
      </w:pPr>
      <w:bookmarkStart w:id="1" w:name="author-note"/>
      <w:bookmarkEnd w:id="0"/>
      <w:proofErr w:type="spellStart"/>
      <w:r w:rsidRPr="00D56862">
        <w:rPr>
          <w:lang w:val="es-ES"/>
        </w:rPr>
        <w:t>Author</w:t>
      </w:r>
      <w:proofErr w:type="spellEnd"/>
      <w:r w:rsidRPr="00D56862">
        <w:rPr>
          <w:lang w:val="es-ES"/>
        </w:rPr>
        <w:t xml:space="preserve"> Note</w:t>
      </w:r>
    </w:p>
    <w:p w14:paraId="0B4E0D64" w14:textId="77777777" w:rsidR="00C908CA" w:rsidRPr="00D56862" w:rsidRDefault="00000000">
      <w:pPr>
        <w:pStyle w:val="FirstParagraph"/>
        <w:rPr>
          <w:lang w:val="es-ES"/>
        </w:rPr>
      </w:pPr>
      <w:r w:rsidRPr="00D56862">
        <w:rPr>
          <w:lang w:val="es-ES"/>
        </w:rPr>
        <w:t xml:space="preserve">Clara Muñiz-Diez </w:t>
      </w:r>
      <w:r>
        <w:rPr>
          <w:noProof/>
        </w:rPr>
        <w:drawing>
          <wp:inline distT="0" distB="0" distL="0" distR="0" wp14:anchorId="4653F314" wp14:editId="1DA11C83">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es-ES"/>
        </w:rPr>
        <w:t xml:space="preserve"> http://orcid.org/0000-0001-5192-0462</w:t>
      </w:r>
    </w:p>
    <w:p w14:paraId="4C647DEF" w14:textId="77777777" w:rsidR="00C908CA" w:rsidRPr="00D56862" w:rsidRDefault="00000000">
      <w:pPr>
        <w:pStyle w:val="BodyText"/>
        <w:rPr>
          <w:lang w:val="it-IT"/>
        </w:rPr>
      </w:pPr>
      <w:r w:rsidRPr="00D56862">
        <w:rPr>
          <w:lang w:val="it-IT"/>
        </w:rPr>
        <w:t xml:space="preserve">Sandra Lagator </w:t>
      </w:r>
      <w:r>
        <w:rPr>
          <w:noProof/>
        </w:rPr>
        <w:drawing>
          <wp:inline distT="0" distB="0" distL="0" distR="0" wp14:anchorId="48CF83B0" wp14:editId="5BFBD652">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it-IT"/>
        </w:rPr>
        <w:t xml:space="preserve"> http://orcid.org/0000-0001-6060-2941</w:t>
      </w:r>
    </w:p>
    <w:p w14:paraId="4640140A" w14:textId="77777777" w:rsidR="00C908CA" w:rsidRPr="00D56862" w:rsidRDefault="00000000">
      <w:pPr>
        <w:pStyle w:val="BodyText"/>
        <w:rPr>
          <w:lang w:val="de-DE"/>
        </w:rPr>
      </w:pPr>
      <w:r w:rsidRPr="00D56862">
        <w:rPr>
          <w:lang w:val="de-DE"/>
        </w:rPr>
        <w:t xml:space="preserve">Mark Haselgrove </w:t>
      </w:r>
      <w:r>
        <w:rPr>
          <w:noProof/>
        </w:rPr>
        <w:drawing>
          <wp:inline distT="0" distB="0" distL="0" distR="0" wp14:anchorId="6759EA65" wp14:editId="7F820007">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de-DE"/>
        </w:rPr>
        <w:t xml:space="preserve"> http://orcid.org/0000-0001-8981-1181</w:t>
      </w:r>
    </w:p>
    <w:p w14:paraId="234D91C9" w14:textId="77777777" w:rsidR="00C908CA" w:rsidRDefault="00000000">
      <w:pPr>
        <w:pStyle w:val="BodyText"/>
      </w:pPr>
      <w:r>
        <w:t xml:space="preserve">Tom Beesley </w:t>
      </w:r>
      <w:bookmarkStart w:id="2" w:name="orchid"/>
      <w:r>
        <w:rPr>
          <w:noProof/>
        </w:rPr>
        <w:drawing>
          <wp:inline distT="0" distB="0" distL="0" distR="0" wp14:anchorId="3947F67E" wp14:editId="18C8139F">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t xml:space="preserve"> http://orcid.org/0000-0003-2836-2743</w:t>
      </w:r>
    </w:p>
    <w:p w14:paraId="71DE90CD" w14:textId="77777777" w:rsidR="00C908CA" w:rsidRDefault="00000000">
      <w:pPr>
        <w:pStyle w:val="BodyText"/>
      </w:pPr>
      <w:r>
        <w:t>The programs of the experiments presented here, the data and the full code for the writting this manuscript are freely available on www.github.com/munizdiezclara/UNM_draft. This study was supported by the ESRC grant Known unknowns and unknown unknowns (ES/W013215/1).</w:t>
      </w:r>
    </w:p>
    <w:p w14:paraId="0265FEF0" w14:textId="77777777" w:rsidR="00C908CA" w:rsidRDefault="00000000">
      <w:pPr>
        <w:pStyle w:val="BodyText"/>
      </w:pPr>
      <w:r>
        <w:t>Correspondence concerning this article should be addressed to Clara Muñiz-Diez, Department of Psychology, Lancaster University, Lancaster, UK, Email: c.muniz-diez@lancaster.ac.uk</w:t>
      </w:r>
    </w:p>
    <w:p w14:paraId="1DF1F769" w14:textId="77777777" w:rsidR="00C908CA" w:rsidRDefault="00000000">
      <w:r>
        <w:br w:type="page"/>
      </w:r>
    </w:p>
    <w:p w14:paraId="66AD2FCA" w14:textId="77777777" w:rsidR="00C908CA" w:rsidRDefault="00000000">
      <w:pPr>
        <w:pStyle w:val="Heading1"/>
      </w:pPr>
      <w:bookmarkStart w:id="3" w:name="abstract"/>
      <w:bookmarkEnd w:id="1"/>
      <w:r>
        <w:lastRenderedPageBreak/>
        <w:t>Abstract</w:t>
      </w:r>
    </w:p>
    <w:p w14:paraId="1D0F5584" w14:textId="77777777" w:rsidR="00C908CA" w:rsidRDefault="00000000">
      <w:pPr>
        <w:pStyle w:val="Abstract"/>
      </w:pPr>
      <w:r>
        <w:t>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14:paraId="70506977" w14:textId="77777777" w:rsidR="00C908CA" w:rsidRDefault="00000000">
      <w:pPr>
        <w:pStyle w:val="BodyText"/>
      </w:pPr>
      <w:r>
        <w:rPr>
          <w:i/>
          <w:iCs/>
        </w:rPr>
        <w:t>Keywords</w:t>
      </w:r>
      <w:r>
        <w:t>: Associative Learning, Attention, Uncertainty, Predictiveness, Cue processing</w:t>
      </w:r>
    </w:p>
    <w:p w14:paraId="57EAE321" w14:textId="77777777" w:rsidR="00C908CA" w:rsidRDefault="00000000">
      <w:r>
        <w:br w:type="page"/>
      </w:r>
    </w:p>
    <w:p w14:paraId="69184E37" w14:textId="77777777" w:rsidR="00C908CA" w:rsidRDefault="00000000">
      <w:pPr>
        <w:pStyle w:val="Heading1"/>
      </w:pPr>
      <w:bookmarkStart w:id="4" w:name="firstheader"/>
      <w:bookmarkEnd w:id="3"/>
      <w:r>
        <w:lastRenderedPageBreak/>
        <w:t>Effects of expected and unexpected uncertainty on cue processing</w:t>
      </w:r>
    </w:p>
    <w:p w14:paraId="647D7D07" w14:textId="77777777" w:rsidR="00C908CA" w:rsidRDefault="00000000">
      <w:pPr>
        <w:pStyle w:val="FirstParagraph"/>
      </w:pPr>
      <w:r>
        <w:t xml:space="preserve">A central feature of the cognition of humans and other animals is the ability to learn the predictive relationships between events in the world in order to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14:paraId="3D3268B5" w14:textId="77777777" w:rsidR="00C908CA" w:rsidRDefault="00000000">
      <w:pPr>
        <w:pStyle w:val="BodyText"/>
      </w:pPr>
      <w:r>
        <w:t xml:space="preserve">There are two main ways in which learning can shape attention. The first is often referred to as the </w:t>
      </w:r>
      <w:r>
        <w:rPr>
          <w:i/>
          <w:iCs/>
        </w:rPr>
        <w:t>predictiveness principle</w:t>
      </w:r>
      <w:r>
        <w:t xml:space="preserve">, according to which attention increases to stimuli that reliably signal the occurrence of an outcome (e.g., Mackintosh, 1975; see also: Kruschke, 2001, 2003; Le Pelley, 2004). It is thought that this mode of attention is advantageous as it allows for the </w:t>
      </w:r>
      <w:r>
        <w:rPr>
          <w:i/>
          <w:iCs/>
        </w:rPr>
        <w:t>exploitation</w:t>
      </w:r>
      <w:r>
        <w:t xml:space="preserve"> of reliable knowledge and permits animals to be prepared to make responses to stimuli with known consequences. A common method for studying this process in the lab is with </w:t>
      </w:r>
      <w:r>
        <w:lastRenderedPageBreak/>
        <w:t>the “learned predictiveness” design (e.g., Le Pelley &amp; McLaren, 2003). In this contingency learning procedure, cues are trained as differentially predictive of particular outcomes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51E7C88F" w14:textId="77777777" w:rsidR="00C908CA" w:rsidRDefault="00000000">
      <w:pPr>
        <w:pStyle w:val="BodyText"/>
      </w:pPr>
      <w:r>
        <w:t xml:space="preserve">The second way in which learning can modify the attention paid to stimuli is the </w:t>
      </w:r>
      <w:r>
        <w:rPr>
          <w:i/>
          <w:iCs/>
        </w:rPr>
        <w:t>uncertainty principle</w:t>
      </w:r>
      <w:r>
        <w:t xml:space="preserve"> (e.g., Pearce &amp; Hall, 1980; see also: Le Pelley et al., 2012; Schmajuk et al., </w:t>
      </w:r>
      <w:r>
        <w:lastRenderedPageBreak/>
        <w:t>1996) 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1"/>
      </w:r>
      <w:r>
        <w:t>.</w:t>
      </w:r>
    </w:p>
    <w:p w14:paraId="440609DD" w14:textId="77777777" w:rsidR="00C908CA" w:rsidRDefault="00000000">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a number of hybrid models of learning and attention have tried to reconcile the evidence in favour of both principles (e.g., Esber &amp; </w:t>
      </w:r>
      <w:r>
        <w:lastRenderedPageBreak/>
        <w:t>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14:paraId="36B53D0D" w14:textId="77777777" w:rsidR="00C908CA" w:rsidRDefault="00000000">
      <w:pPr>
        <w:pStyle w:val="BodyText"/>
      </w:pPr>
      <w:r>
        <w:t xml:space="preserve">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cues did on “certain trials”. However, a predictiveness effect was also evident, with higher attention to predictive than to non-predictive cues, although this effect was only evident for cues. </w:t>
      </w:r>
      <w:r>
        <w:lastRenderedPageBreak/>
        <w:t>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61F3E66D" w14:textId="77777777" w:rsidR="00C908CA" w:rsidRDefault="00000000">
      <w:pPr>
        <w:pStyle w:val="BodyText"/>
      </w:pPr>
      <w:r>
        <w:t xml:space="preserve">A study by Easdale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was found that participants who initially experienced the uncertain contingencies learnt about these new contingencies more </w:t>
      </w:r>
      <w:r>
        <w:rPr>
          <w:i/>
          <w:iCs/>
        </w:rPr>
        <w:t>slowly</w:t>
      </w:r>
      <w:r>
        <w:t xml:space="preserve"> than those participants who first learnt about certain contingencies. Easdale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64DBC11B" w14:textId="77777777" w:rsidR="00C908CA" w:rsidRDefault="00000000">
      <w:pPr>
        <w:pStyle w:val="BodyText"/>
      </w:pPr>
      <w:r>
        <w:t xml:space="preserve">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w:t>
      </w:r>
      <w:r>
        <w:lastRenderedPageBreak/>
        <w:t>not translate into more rapid learning. One of the reasons why this finding of slower learning under conditions of expected uncertainty is surprising, is that participants in this condition 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 (2015), Easdale et al. (2019), and Torrents-Rodas et al. (2023). It is this process that is currently poorly understood and is the focus of the current study.</w:t>
      </w:r>
    </w:p>
    <w:p w14:paraId="5D8C1D05" w14:textId="77777777" w:rsidR="00C908CA" w:rsidRDefault="00000000">
      <w:pPr>
        <w:pStyle w:val="BodyText"/>
      </w:pPr>
      <w:r>
        <w:t>A critical question arises from this paradox: do uncertain conditions result in an increase in cognitive processing? Pearce and Hall (1980) 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63423E74" w14:textId="77777777" w:rsidR="00C908CA" w:rsidRDefault="00000000">
      <w:pPr>
        <w:pStyle w:val="BodyText"/>
      </w:pPr>
      <w:r>
        <w:t xml:space="preserve">In the current study, three experiments were conducted with the design employed by Beesley et al. (2015), in which the predictiveness and the uncertainty of the cues were </w:t>
      </w:r>
      <w:r>
        <w:lastRenderedPageBreak/>
        <w:t>manipulated. Based on the notion that greater stimulus processing is associated with superior memory recall (Craik &amp; Lockhart, 1972; Craik &amp; Tulving, 1975; Fletcher et al., 1998).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p w14:paraId="7F62C8B8" w14:textId="77777777" w:rsidR="00C908CA" w:rsidRDefault="00000000">
      <w:pPr>
        <w:pStyle w:val="Heading1"/>
      </w:pPr>
      <w:bookmarkStart w:id="5" w:name="experiment-1"/>
      <w:bookmarkEnd w:id="4"/>
      <w:r>
        <w:t>Experiment 1</w:t>
      </w:r>
    </w:p>
    <w:p w14:paraId="0BBB4038" w14:textId="77777777" w:rsidR="00C908CA" w:rsidRDefault="00000000">
      <w:pPr>
        <w:pStyle w:val="FirstParagraph"/>
      </w:pPr>
      <w:r>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its colours.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High, Medium and Low similarity (see </w:t>
      </w:r>
      <w:hyperlink w:anchor="fig-foil_example">
        <w:r>
          <w:rPr>
            <w:rStyle w:val="Hyperlink"/>
          </w:rPr>
          <w:t>Figure 1</w:t>
        </w:r>
      </w:hyperlink>
      <w:r>
        <w:t xml:space="preserve">). The design of Experiment 1 can be seen in </w:t>
      </w:r>
      <w:hyperlink w:anchor="tbl-exp1">
        <w:r>
          <w:rPr>
            <w:rStyle w:val="Hyperlink"/>
          </w:rPr>
          <w:t>Table 1</w:t>
        </w:r>
      </w:hyperlink>
      <w:r>
        <w:t xml:space="preserve">. Note that during the training stage cues A, B, X and Y were all presented equally </w:t>
      </w:r>
      <w:r>
        <w:lastRenderedPageBreak/>
        <w:t>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299B641C" w14:textId="77777777" w:rsidR="00C908CA" w:rsidRDefault="00000000">
      <w:pPr>
        <w:pStyle w:val="FigureTitle"/>
      </w:pPr>
      <w:bookmarkStart w:id="6" w:name="tbl-exp1"/>
      <w:r>
        <w:t>Table 1</w:t>
      </w:r>
    </w:p>
    <w:p w14:paraId="495C4FC0" w14:textId="77777777" w:rsidR="00C908CA" w:rsidRDefault="00000000">
      <w:pPr>
        <w:pStyle w:val="Caption"/>
      </w:pPr>
      <w:r>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C908CA" w14:paraId="44BE553C"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225" w:type="dxa"/>
          </w:tcPr>
          <w:p w14:paraId="756C60D3" w14:textId="77777777" w:rsidR="00C908CA" w:rsidRDefault="00000000">
            <w:pPr>
              <w:pStyle w:val="Compact"/>
              <w:jc w:val="center"/>
            </w:pPr>
            <w:r>
              <w:t>Training</w:t>
            </w:r>
          </w:p>
        </w:tc>
        <w:tc>
          <w:tcPr>
            <w:tcW w:w="1225" w:type="dxa"/>
          </w:tcPr>
          <w:p w14:paraId="59CB63F4" w14:textId="77777777" w:rsidR="00C908CA" w:rsidRDefault="00000000">
            <w:pPr>
              <w:pStyle w:val="Compact"/>
              <w:jc w:val="center"/>
            </w:pPr>
            <w:r>
              <w:t>Test 1</w:t>
            </w:r>
          </w:p>
        </w:tc>
        <w:tc>
          <w:tcPr>
            <w:tcW w:w="2545" w:type="dxa"/>
          </w:tcPr>
          <w:p w14:paraId="6AC677A8" w14:textId="77777777" w:rsidR="00C908CA" w:rsidRDefault="00000000">
            <w:pPr>
              <w:pStyle w:val="Compact"/>
              <w:jc w:val="center"/>
            </w:pPr>
            <w:r>
              <w:t>Test2 - congruent trials</w:t>
            </w:r>
          </w:p>
        </w:tc>
        <w:tc>
          <w:tcPr>
            <w:tcW w:w="2734" w:type="dxa"/>
          </w:tcPr>
          <w:p w14:paraId="5AE95713" w14:textId="77777777" w:rsidR="00C908CA" w:rsidRDefault="00000000">
            <w:pPr>
              <w:pStyle w:val="Compact"/>
              <w:jc w:val="center"/>
            </w:pPr>
            <w:r>
              <w:t>Test2 - incongruent trials</w:t>
            </w:r>
          </w:p>
        </w:tc>
      </w:tr>
      <w:tr w:rsidR="00C908CA" w14:paraId="1FB7988D" w14:textId="77777777">
        <w:tc>
          <w:tcPr>
            <w:tcW w:w="1225" w:type="dxa"/>
          </w:tcPr>
          <w:p w14:paraId="54D8B6C3" w14:textId="77777777" w:rsidR="00C908CA" w:rsidRDefault="00000000">
            <w:pPr>
              <w:pStyle w:val="Compact"/>
              <w:jc w:val="center"/>
            </w:pPr>
            <w:r>
              <w:t>AX-O1</w:t>
            </w:r>
          </w:p>
        </w:tc>
        <w:tc>
          <w:tcPr>
            <w:tcW w:w="1225" w:type="dxa"/>
          </w:tcPr>
          <w:p w14:paraId="18E83A1F" w14:textId="77777777" w:rsidR="00C908CA" w:rsidRDefault="00000000">
            <w:pPr>
              <w:pStyle w:val="Compact"/>
              <w:jc w:val="center"/>
            </w:pPr>
            <w:r>
              <w:t xml:space="preserve">A vs </w:t>
            </w:r>
            <w:r>
              <w:rPr>
                <w:i/>
                <w:iCs/>
              </w:rPr>
              <w:t>a</w:t>
            </w:r>
          </w:p>
        </w:tc>
        <w:tc>
          <w:tcPr>
            <w:tcW w:w="2545" w:type="dxa"/>
          </w:tcPr>
          <w:p w14:paraId="200A8497" w14:textId="77777777" w:rsidR="00C908CA" w:rsidRDefault="00000000">
            <w:pPr>
              <w:pStyle w:val="Compact"/>
              <w:jc w:val="center"/>
            </w:pPr>
            <w:r>
              <w:t xml:space="preserve">A vs </w:t>
            </w:r>
            <w:r>
              <w:rPr>
                <w:i/>
                <w:iCs/>
              </w:rPr>
              <w:t>b</w:t>
            </w:r>
          </w:p>
        </w:tc>
        <w:tc>
          <w:tcPr>
            <w:tcW w:w="2734" w:type="dxa"/>
          </w:tcPr>
          <w:p w14:paraId="4E8D59B7" w14:textId="77777777" w:rsidR="00C908CA" w:rsidRDefault="00000000">
            <w:pPr>
              <w:pStyle w:val="Compact"/>
              <w:jc w:val="center"/>
            </w:pPr>
            <w:r>
              <w:t xml:space="preserve">A vs </w:t>
            </w:r>
            <w:r>
              <w:rPr>
                <w:i/>
                <w:iCs/>
              </w:rPr>
              <w:t>x</w:t>
            </w:r>
            <w:r>
              <w:t xml:space="preserve"> or </w:t>
            </w:r>
            <w:r>
              <w:rPr>
                <w:i/>
                <w:iCs/>
              </w:rPr>
              <w:t>y</w:t>
            </w:r>
          </w:p>
        </w:tc>
      </w:tr>
      <w:tr w:rsidR="00C908CA" w14:paraId="7D5B4C61" w14:textId="77777777">
        <w:tc>
          <w:tcPr>
            <w:tcW w:w="1225" w:type="dxa"/>
          </w:tcPr>
          <w:p w14:paraId="61640F3F" w14:textId="77777777" w:rsidR="00C908CA" w:rsidRDefault="00000000">
            <w:pPr>
              <w:pStyle w:val="Compact"/>
              <w:jc w:val="center"/>
            </w:pPr>
            <w:r>
              <w:t>AY-O1</w:t>
            </w:r>
          </w:p>
        </w:tc>
        <w:tc>
          <w:tcPr>
            <w:tcW w:w="1225" w:type="dxa"/>
          </w:tcPr>
          <w:p w14:paraId="56A9BC4D" w14:textId="77777777" w:rsidR="00C908CA" w:rsidRDefault="00000000">
            <w:pPr>
              <w:pStyle w:val="Compact"/>
              <w:jc w:val="center"/>
            </w:pPr>
            <w:r>
              <w:t xml:space="preserve">B vs </w:t>
            </w:r>
            <w:r>
              <w:rPr>
                <w:i/>
                <w:iCs/>
              </w:rPr>
              <w:t>b</w:t>
            </w:r>
          </w:p>
        </w:tc>
        <w:tc>
          <w:tcPr>
            <w:tcW w:w="2545" w:type="dxa"/>
          </w:tcPr>
          <w:p w14:paraId="48A9BCB3" w14:textId="77777777" w:rsidR="00C908CA" w:rsidRDefault="00000000">
            <w:pPr>
              <w:pStyle w:val="Compact"/>
              <w:jc w:val="center"/>
            </w:pPr>
            <w:r>
              <w:t xml:space="preserve">B vs </w:t>
            </w:r>
            <w:r>
              <w:rPr>
                <w:i/>
                <w:iCs/>
              </w:rPr>
              <w:t>a</w:t>
            </w:r>
          </w:p>
        </w:tc>
        <w:tc>
          <w:tcPr>
            <w:tcW w:w="2734" w:type="dxa"/>
          </w:tcPr>
          <w:p w14:paraId="32B8F9FE" w14:textId="77777777" w:rsidR="00C908CA" w:rsidRDefault="00000000">
            <w:pPr>
              <w:pStyle w:val="Compact"/>
              <w:jc w:val="center"/>
            </w:pPr>
            <w:r>
              <w:t xml:space="preserve">B vs </w:t>
            </w:r>
            <w:r>
              <w:rPr>
                <w:i/>
                <w:iCs/>
              </w:rPr>
              <w:t>x</w:t>
            </w:r>
            <w:r>
              <w:t xml:space="preserve"> or </w:t>
            </w:r>
            <w:r>
              <w:rPr>
                <w:i/>
                <w:iCs/>
              </w:rPr>
              <w:t>y</w:t>
            </w:r>
          </w:p>
        </w:tc>
      </w:tr>
      <w:tr w:rsidR="00C908CA" w14:paraId="53A4F83E" w14:textId="77777777">
        <w:tc>
          <w:tcPr>
            <w:tcW w:w="1225" w:type="dxa"/>
          </w:tcPr>
          <w:p w14:paraId="328E0D8A" w14:textId="77777777" w:rsidR="00C908CA" w:rsidRDefault="00000000">
            <w:pPr>
              <w:pStyle w:val="Compact"/>
              <w:jc w:val="center"/>
            </w:pPr>
            <w:r>
              <w:t>BX-O2</w:t>
            </w:r>
          </w:p>
        </w:tc>
        <w:tc>
          <w:tcPr>
            <w:tcW w:w="1225" w:type="dxa"/>
          </w:tcPr>
          <w:p w14:paraId="0EAA3AFB" w14:textId="77777777" w:rsidR="00C908CA" w:rsidRDefault="00000000">
            <w:pPr>
              <w:pStyle w:val="Compact"/>
              <w:jc w:val="center"/>
            </w:pPr>
            <w:r>
              <w:t xml:space="preserve">X vs </w:t>
            </w:r>
            <w:r>
              <w:rPr>
                <w:i/>
                <w:iCs/>
              </w:rPr>
              <w:t>x</w:t>
            </w:r>
          </w:p>
        </w:tc>
        <w:tc>
          <w:tcPr>
            <w:tcW w:w="2545" w:type="dxa"/>
          </w:tcPr>
          <w:p w14:paraId="33A56C7A" w14:textId="77777777" w:rsidR="00C908CA" w:rsidRDefault="00000000">
            <w:pPr>
              <w:pStyle w:val="Compact"/>
              <w:jc w:val="center"/>
            </w:pPr>
            <w:r>
              <w:t xml:space="preserve">X vs </w:t>
            </w:r>
            <w:r>
              <w:rPr>
                <w:i/>
                <w:iCs/>
              </w:rPr>
              <w:t>y</w:t>
            </w:r>
          </w:p>
        </w:tc>
        <w:tc>
          <w:tcPr>
            <w:tcW w:w="2734" w:type="dxa"/>
          </w:tcPr>
          <w:p w14:paraId="6C3F4E1F" w14:textId="77777777" w:rsidR="00C908CA" w:rsidRDefault="00000000">
            <w:pPr>
              <w:pStyle w:val="Compact"/>
              <w:jc w:val="center"/>
            </w:pPr>
            <w:r>
              <w:t xml:space="preserve">X vs </w:t>
            </w:r>
            <w:r>
              <w:rPr>
                <w:i/>
                <w:iCs/>
              </w:rPr>
              <w:t>a</w:t>
            </w:r>
            <w:r>
              <w:t xml:space="preserve"> or </w:t>
            </w:r>
            <w:r>
              <w:rPr>
                <w:i/>
                <w:iCs/>
              </w:rPr>
              <w:t>b</w:t>
            </w:r>
          </w:p>
        </w:tc>
      </w:tr>
      <w:tr w:rsidR="00C908CA" w14:paraId="4B05BCFA" w14:textId="77777777">
        <w:tc>
          <w:tcPr>
            <w:tcW w:w="1225" w:type="dxa"/>
          </w:tcPr>
          <w:p w14:paraId="7AD43B76" w14:textId="77777777" w:rsidR="00C908CA" w:rsidRDefault="00000000">
            <w:pPr>
              <w:pStyle w:val="Compact"/>
              <w:jc w:val="center"/>
            </w:pPr>
            <w:r>
              <w:t>BY-O2</w:t>
            </w:r>
          </w:p>
        </w:tc>
        <w:tc>
          <w:tcPr>
            <w:tcW w:w="1225" w:type="dxa"/>
          </w:tcPr>
          <w:p w14:paraId="3AFA0F02" w14:textId="77777777" w:rsidR="00C908CA" w:rsidRDefault="00000000">
            <w:pPr>
              <w:pStyle w:val="Compact"/>
              <w:jc w:val="center"/>
            </w:pPr>
            <w:r>
              <w:t xml:space="preserve">Y vs </w:t>
            </w:r>
            <w:r>
              <w:rPr>
                <w:i/>
                <w:iCs/>
              </w:rPr>
              <w:t>y</w:t>
            </w:r>
          </w:p>
        </w:tc>
        <w:tc>
          <w:tcPr>
            <w:tcW w:w="2545" w:type="dxa"/>
          </w:tcPr>
          <w:p w14:paraId="261EA45B" w14:textId="77777777" w:rsidR="00C908CA" w:rsidRDefault="00000000">
            <w:pPr>
              <w:pStyle w:val="Compact"/>
              <w:jc w:val="center"/>
            </w:pPr>
            <w:r>
              <w:t xml:space="preserve">Y vs </w:t>
            </w:r>
            <w:r>
              <w:rPr>
                <w:i/>
                <w:iCs/>
              </w:rPr>
              <w:t>x</w:t>
            </w:r>
          </w:p>
        </w:tc>
        <w:tc>
          <w:tcPr>
            <w:tcW w:w="2734" w:type="dxa"/>
          </w:tcPr>
          <w:p w14:paraId="00940EBB" w14:textId="77777777" w:rsidR="00C908CA" w:rsidRDefault="00000000">
            <w:pPr>
              <w:pStyle w:val="Compact"/>
              <w:jc w:val="center"/>
            </w:pPr>
            <w:r>
              <w:t xml:space="preserve">Y vs </w:t>
            </w:r>
            <w:r>
              <w:rPr>
                <w:i/>
                <w:iCs/>
              </w:rPr>
              <w:t>a</w:t>
            </w:r>
            <w:r>
              <w:t xml:space="preserve"> or </w:t>
            </w:r>
            <w:r>
              <w:rPr>
                <w:i/>
                <w:iCs/>
              </w:rPr>
              <w:t>b</w:t>
            </w:r>
          </w:p>
        </w:tc>
      </w:tr>
    </w:tbl>
    <w:bookmarkEnd w:id="6"/>
    <w:p w14:paraId="362FA0A2" w14:textId="77777777" w:rsidR="00C908CA" w:rsidRDefault="00000000">
      <w:pPr>
        <w:pStyle w:val="FigureNote"/>
      </w:pPr>
      <w:r>
        <w:rPr>
          <w:i/>
          <w:iCs/>
        </w:rPr>
        <w:t>Note</w:t>
      </w:r>
      <w:r>
        <w:t xml:space="preserve">. Uppercase letters A, B, X, and Y represent the cues presented during training. O1 and O2 represent the outcomes presented in training. Lowercase letters </w:t>
      </w:r>
      <w:r>
        <w:rPr>
          <w:i/>
          <w:iCs/>
        </w:rPr>
        <w:t>a</w:t>
      </w:r>
      <w:r>
        <w:t xml:space="preserve">, </w:t>
      </w:r>
      <w:r>
        <w:rPr>
          <w:i/>
          <w:iCs/>
        </w:rPr>
        <w:t>b</w:t>
      </w:r>
      <w:r>
        <w:t xml:space="preserve">, </w:t>
      </w:r>
      <w:r>
        <w:rPr>
          <w:i/>
          <w:iCs/>
        </w:rPr>
        <w:t>x</w:t>
      </w:r>
      <w:r>
        <w:t xml:space="preserve">, and </w:t>
      </w:r>
      <w:r>
        <w:rPr>
          <w:i/>
          <w:iCs/>
        </w:rPr>
        <w:t>y</w:t>
      </w:r>
      <w:r>
        <w:t xml:space="preserve"> represent the foils that are similar to their respective (uppercase letter) cues presented in the training phase.</w:t>
      </w:r>
    </w:p>
    <w:p w14:paraId="5C3235AD" w14:textId="77777777" w:rsidR="00C908CA" w:rsidRDefault="00000000">
      <w:pPr>
        <w:pStyle w:val="Heading2"/>
      </w:pPr>
      <w:bookmarkStart w:id="7" w:name="methods"/>
      <w:r>
        <w:t>Methods</w:t>
      </w:r>
    </w:p>
    <w:p w14:paraId="0D420AFD" w14:textId="77777777" w:rsidR="00C908CA" w:rsidRDefault="00000000">
      <w:pPr>
        <w:pStyle w:val="Heading3"/>
      </w:pPr>
      <w:bookmarkStart w:id="8" w:name="transparency-and-openness-statement"/>
      <w:r>
        <w:t>Transparency and openness statement</w:t>
      </w:r>
    </w:p>
    <w:p w14:paraId="39AC36EB" w14:textId="00238D24" w:rsidR="00C908CA" w:rsidRDefault="00000000">
      <w:pPr>
        <w:pStyle w:val="FirstParagraph"/>
      </w:pPr>
      <w:r>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w:t>
      </w:r>
      <w:proofErr w:type="spellStart"/>
      <w:r>
        <w:t>PsychoPy</w:t>
      </w:r>
      <w:proofErr w:type="spellEnd"/>
      <w:r>
        <w:t xml:space="preserve"> </w:t>
      </w:r>
      <w:r w:rsidR="00A36A8D">
        <w:t>(</w:t>
      </w:r>
      <w:r>
        <w:t>v. 2022.2.4</w:t>
      </w:r>
      <w:r w:rsidR="00A36A8D">
        <w:t>,</w:t>
      </w:r>
      <w:r>
        <w:t xml:space="preserve"> Peirce et al. (2019),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w:t>
      </w:r>
      <w:r>
        <w:lastRenderedPageBreak/>
        <w:t>in this paper received ethical approval by the Ethics Committee at the School of Psychology, Lancaster University, UK.</w:t>
      </w:r>
    </w:p>
    <w:p w14:paraId="1EC3B941" w14:textId="77777777" w:rsidR="00C908CA" w:rsidRDefault="00000000">
      <w:pPr>
        <w:pStyle w:val="Heading3"/>
      </w:pPr>
      <w:bookmarkStart w:id="9" w:name="participants"/>
      <w:bookmarkEnd w:id="8"/>
      <w:r>
        <w:t>Participants</w:t>
      </w:r>
    </w:p>
    <w:p w14:paraId="55A6AAF5" w14:textId="77777777" w:rsidR="00C908CA" w:rsidRDefault="00000000">
      <w:pPr>
        <w:pStyle w:val="FirstParagraph"/>
      </w:pPr>
      <w:r>
        <w:t>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 (Faul et al., 2007) revealed that the resulting sample size of 84 had a power of .99 to detect an effect size of η</w:t>
      </w:r>
      <w:r>
        <w:rPr>
          <w:vertAlign w:val="subscript"/>
        </w:rPr>
        <w:t>p</w:t>
      </w:r>
      <w:r>
        <w:rPr>
          <w:vertAlign w:val="superscript"/>
        </w:rPr>
        <w:t>2</w:t>
      </w:r>
      <w:r>
        <w:t xml:space="preserve"> = .06 that was observed for the predictiveness main effect reported in </w:t>
      </w:r>
      <w:hyperlink w:anchor="fig-test2Exp1">
        <w:r>
          <w:rPr>
            <w:rStyle w:val="Hyperlink"/>
          </w:rPr>
          <w:t>Figure 6</w:t>
        </w:r>
      </w:hyperlink>
      <w:r>
        <w:t>.</w:t>
      </w:r>
    </w:p>
    <w:p w14:paraId="75F9699E" w14:textId="77777777" w:rsidR="00C908CA" w:rsidRDefault="00000000">
      <w:pPr>
        <w:pStyle w:val="Heading3"/>
      </w:pPr>
      <w:bookmarkStart w:id="10" w:name="apparatus-and-stimuli"/>
      <w:bookmarkEnd w:id="9"/>
      <w:r>
        <w:t>Apparatus and stimuli</w:t>
      </w:r>
    </w:p>
    <w:p w14:paraId="7C55D2D2" w14:textId="5813F40E" w:rsidR="00C908CA" w:rsidRDefault="00000000">
      <w:pPr>
        <w:pStyle w:val="FirstParagraph"/>
      </w:pPr>
      <w:r>
        <w:t xml:space="preserve">Participants were presented with a task built in </w:t>
      </w:r>
      <w:proofErr w:type="spellStart"/>
      <w:r>
        <w:t>PsychoPy</w:t>
      </w:r>
      <w:proofErr w:type="spellEnd"/>
      <w:r>
        <w:t xml:space="preserve"> </w:t>
      </w:r>
      <w:r w:rsidR="00A36A8D">
        <w:t>(</w:t>
      </w:r>
      <w:r>
        <w:t xml:space="preserve">v. 2022.2.4; Peirce et al. (2019)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w:t>
      </w:r>
      <w:r>
        <w:lastRenderedPageBreak/>
        <w:t>height. The outcomes (O1 and O2) were two images displaying a mutant creature, black with yellow details. Each was 332 x 664 pixels, automatically re-scaled to 0.16 x 0.2 of the window height.</w:t>
      </w:r>
    </w:p>
    <w:p w14:paraId="0385CF62" w14:textId="77777777" w:rsidR="00C908CA" w:rsidRDefault="00000000">
      <w:pPr>
        <w:pStyle w:val="BodyText"/>
      </w:pPr>
      <w:r>
        <w:t xml:space="preserve">Examples of the cue images are shown in </w:t>
      </w:r>
      <w:hyperlink w:anchor="fig-foil_example">
        <w:r>
          <w:rPr>
            <w:rStyle w:val="Hyperlink"/>
          </w:rPr>
          <w:t>Figure 1</w:t>
        </w:r>
      </w:hyperlink>
      <w:r>
        <w:t>.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All of the images used in the experiment are presented in Appendix I.</w:t>
      </w:r>
    </w:p>
    <w:p w14:paraId="3F719747" w14:textId="77777777" w:rsidR="00C908CA" w:rsidRDefault="00000000">
      <w:pPr>
        <w:pStyle w:val="FigureTitle"/>
      </w:pPr>
      <w:bookmarkStart w:id="11" w:name="fig-foil_example"/>
      <w:r>
        <w:lastRenderedPageBreak/>
        <w:t>Figure 1</w:t>
      </w:r>
    </w:p>
    <w:p w14:paraId="03C54CDF" w14:textId="77777777" w:rsidR="00C908CA" w:rsidRDefault="00000000">
      <w:pPr>
        <w:pStyle w:val="Caption"/>
      </w:pPr>
      <w:r>
        <w:t>Example of the modifications in the original cue image to create the foils.</w:t>
      </w:r>
    </w:p>
    <w:p w14:paraId="4322C4D4" w14:textId="77777777" w:rsidR="00C908CA" w:rsidRDefault="00000000">
      <w:pPr>
        <w:pStyle w:val="FigureWithNote"/>
      </w:pPr>
      <w:r>
        <w:rPr>
          <w:noProof/>
        </w:rPr>
        <w:drawing>
          <wp:inline distT="0" distB="0" distL="0" distR="0" wp14:anchorId="4EA5780D" wp14:editId="3CFB7AE4">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9"/>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27E5CD3D" w14:textId="77777777" w:rsidR="00C908CA" w:rsidRDefault="00000000">
      <w:pPr>
        <w:pStyle w:val="FigureNote"/>
      </w:pPr>
      <w:r>
        <w:rPr>
          <w:i/>
          <w:iCs/>
        </w:rPr>
        <w:t>Note</w:t>
      </w:r>
      <w:r>
        <w:t>. The top row shows an example cue used in the training phase, with three potential foils (depending on condition) shown in the bottom row. High - two of the circles have swapped colours; Medium - four circles have swapped colours; Low - all six circles have swapped colours.</w:t>
      </w:r>
    </w:p>
    <w:p w14:paraId="35FF56EE" w14:textId="77777777" w:rsidR="00C908CA" w:rsidRDefault="00000000">
      <w:pPr>
        <w:pStyle w:val="Heading3"/>
      </w:pPr>
      <w:bookmarkStart w:id="12" w:name="design"/>
      <w:bookmarkEnd w:id="10"/>
      <w:r>
        <w:t>Design</w:t>
      </w:r>
    </w:p>
    <w:p w14:paraId="1FB6C407" w14:textId="77777777" w:rsidR="00C908CA" w:rsidRDefault="00000000">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 </w:t>
      </w:r>
      <w:hyperlink w:anchor="tbl-exp1">
        <w:r>
          <w:rPr>
            <w:rStyle w:val="Hyperlink"/>
          </w:rPr>
          <w:t>Table 1</w:t>
        </w:r>
      </w:hyperlink>
      <w:r>
        <w:t xml:space="preserve">, there were four trial types (compound cues), with cues A and B predictive of outcome 1 </w:t>
      </w:r>
      <w:r>
        <w:lastRenderedPageBreak/>
        <w:t>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14:paraId="418AF2AC" w14:textId="77777777" w:rsidR="00C908CA" w:rsidRDefault="00000000">
      <w:pPr>
        <w:pStyle w:val="BodyText"/>
      </w:pPr>
      <w:r>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0A8C77D2" w14:textId="77777777" w:rsidR="00C908CA" w:rsidRDefault="00000000">
      <w:pPr>
        <w:pStyle w:val="BodyText"/>
      </w:pPr>
      <w:r>
        <w:t xml:space="preserve">Test 2 consisted of six presentations of each of the four cues (24 trials in total). Each cue was presented twice with each of the three foils shown in </w:t>
      </w:r>
      <w:hyperlink w:anchor="tbl-exp1">
        <w:r>
          <w:rPr>
            <w:rStyle w:val="Hyperlink"/>
          </w:rPr>
          <w:t>Table 1</w:t>
        </w:r>
      </w:hyperlink>
      <w:r>
        <w:t>. For example, cue A was presented with the foil corresponding to cue B, the foil corresponding to cue X, and the foil corresponding to cue Y.</w:t>
      </w:r>
    </w:p>
    <w:p w14:paraId="49DD63C4" w14:textId="77777777" w:rsidR="00C908CA" w:rsidRDefault="00000000">
      <w:pPr>
        <w:pStyle w:val="Heading3"/>
      </w:pPr>
      <w:bookmarkStart w:id="13" w:name="procedure"/>
      <w:bookmarkEnd w:id="12"/>
      <w:r>
        <w:t>Procedure</w:t>
      </w:r>
    </w:p>
    <w:p w14:paraId="4D49440C" w14:textId="77777777" w:rsidR="00C908CA" w:rsidRDefault="00000000">
      <w:pPr>
        <w:pStyle w:val="FirstParagraph"/>
      </w:pPr>
      <w:r>
        <w:t>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14:paraId="0EC46524" w14:textId="77777777" w:rsidR="00C908CA" w:rsidRDefault="00000000">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w:t>
      </w:r>
      <w:r>
        <w:lastRenderedPageBreak/>
        <w:t>comprehension check twice. If participants passed the comprehension check, they proceeded to the training phase.</w:t>
      </w:r>
    </w:p>
    <w:p w14:paraId="1F68D552" w14:textId="77777777" w:rsidR="00C908CA" w:rsidRDefault="00000000">
      <w:pPr>
        <w:pStyle w:val="BodyText"/>
      </w:pPr>
      <w:r>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centre of the screen in red, and the next trial started after one second. An example of a training trial can be seen in </w:t>
      </w:r>
      <w:hyperlink w:anchor="fig-trainexample">
        <w:r>
          <w:rPr>
            <w:rStyle w:val="Hyperlink"/>
          </w:rPr>
          <w:t>Figure 2</w:t>
        </w:r>
      </w:hyperlink>
      <w:r>
        <w:t>.</w:t>
      </w:r>
    </w:p>
    <w:p w14:paraId="13CC69F5" w14:textId="77777777" w:rsidR="00C908CA" w:rsidRDefault="00000000">
      <w:pPr>
        <w:pStyle w:val="FigureTitle"/>
      </w:pPr>
      <w:bookmarkStart w:id="14" w:name="fig-trainexample"/>
      <w:r>
        <w:lastRenderedPageBreak/>
        <w:t>Figure 2</w:t>
      </w:r>
    </w:p>
    <w:p w14:paraId="24099434" w14:textId="77777777" w:rsidR="00C908CA" w:rsidRDefault="00000000">
      <w:pPr>
        <w:pStyle w:val="Caption"/>
      </w:pPr>
      <w:r>
        <w:t>An example of a Training Trial in Experiment 1.</w:t>
      </w:r>
    </w:p>
    <w:p w14:paraId="1E874B36" w14:textId="77777777" w:rsidR="00C908CA" w:rsidRDefault="00000000">
      <w:pPr>
        <w:pStyle w:val="FigureWithNote"/>
      </w:pPr>
      <w:r>
        <w:rPr>
          <w:noProof/>
        </w:rPr>
        <w:drawing>
          <wp:inline distT="0" distB="0" distL="0" distR="0" wp14:anchorId="16A65373" wp14:editId="05DC155C">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0"/>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475D128F" w14:textId="77777777" w:rsidR="00C908CA" w:rsidRDefault="00000000">
      <w:pPr>
        <w:pStyle w:val="FigureNote"/>
      </w:pPr>
      <w:r>
        <w:rPr>
          <w:i/>
          <w:iCs/>
        </w:rPr>
        <w:t>Note</w:t>
      </w:r>
      <w:r>
        <w:t>. The timings represent the duration of each display.</w:t>
      </w:r>
    </w:p>
    <w:p w14:paraId="589DDDC7" w14:textId="77777777" w:rsidR="00C908CA" w:rsidRDefault="00000000">
      <w:pPr>
        <w:pStyle w:val="BodyText"/>
      </w:pPr>
      <w:r>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14:paraId="3B51EF5D" w14:textId="77777777" w:rsidR="00C908CA" w:rsidRDefault="00000000">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lastRenderedPageBreak/>
        <w:t xml:space="preserve">for them to give a confidence rating. Above this rating scale, the question </w:t>
      </w:r>
      <w:r>
        <w:rPr>
          <w:i/>
          <w:iCs/>
        </w:rPr>
        <w:t>How confident are you of your response?</w:t>
      </w:r>
      <w:r>
        <w:t xml:space="preserve"> was displayed. The rating scale had 10 points, with the labels </w:t>
      </w:r>
      <w:r>
        <w:rPr>
          <w:i/>
          <w:iCs/>
        </w:rPr>
        <w:t>I am guessing</w:t>
      </w:r>
      <w:r>
        <w:t xml:space="preserve"> on the left end (point 1), and </w:t>
      </w:r>
      <w:r>
        <w:rPr>
          <w:i/>
          <w:iCs/>
        </w:rPr>
        <w:t>I am certain</w:t>
      </w:r>
      <w:r>
        <w:t xml:space="preserve"> on the right end (point 10), and a red dot in the middle. Participants had to click on the rating scale to move the red dot to give their confidence rating. After this, a button with the word </w:t>
      </w:r>
      <w:r>
        <w:rPr>
          <w:i/>
          <w:iCs/>
        </w:rPr>
        <w:t>CONTINUE</w:t>
      </w:r>
      <w:r>
        <w:t xml:space="preserve"> appeared. All responses in the test phase had no time limit and participants could advance to the next test trial at their own pace.</w:t>
      </w:r>
    </w:p>
    <w:p w14:paraId="515894FB" w14:textId="77777777" w:rsidR="00C908CA" w:rsidRDefault="00000000">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Pr>
            <w:rStyle w:val="Hyperlink"/>
          </w:rPr>
          <w:t>Figure 3</w:t>
        </w:r>
      </w:hyperlink>
      <w:r>
        <w:t>.</w:t>
      </w:r>
    </w:p>
    <w:p w14:paraId="4E5844FD" w14:textId="77777777" w:rsidR="00C908CA" w:rsidRDefault="00000000">
      <w:pPr>
        <w:pStyle w:val="FigureTitle"/>
      </w:pPr>
      <w:bookmarkStart w:id="15" w:name="fig-testexample"/>
      <w:r>
        <w:lastRenderedPageBreak/>
        <w:t>Figure 3</w:t>
      </w:r>
    </w:p>
    <w:p w14:paraId="2B5B75A7" w14:textId="77777777" w:rsidR="00C908CA" w:rsidRDefault="00000000">
      <w:pPr>
        <w:pStyle w:val="Caption"/>
      </w:pPr>
      <w:r>
        <w:t>An example of a Test Trial in Experiment 1.</w:t>
      </w:r>
    </w:p>
    <w:p w14:paraId="6EBD560A" w14:textId="77777777" w:rsidR="00C908CA" w:rsidRDefault="00000000">
      <w:pPr>
        <w:pStyle w:val="FigureWithNote"/>
      </w:pPr>
      <w:r>
        <w:rPr>
          <w:noProof/>
        </w:rPr>
        <w:drawing>
          <wp:inline distT="0" distB="0" distL="0" distR="0" wp14:anchorId="672C0ED6" wp14:editId="20420C39">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1"/>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709ABDAF" w14:textId="77777777" w:rsidR="00C908CA" w:rsidRDefault="00000000">
      <w:pPr>
        <w:pStyle w:val="FigureNote"/>
      </w:pPr>
      <w:r>
        <w:rPr>
          <w:i/>
          <w:iCs/>
        </w:rPr>
        <w:t>Note</w:t>
      </w:r>
      <w:r>
        <w:t>. The timings represent the duration of each display.</w:t>
      </w:r>
    </w:p>
    <w:p w14:paraId="7B6BCCBF" w14:textId="77777777" w:rsidR="00C908CA" w:rsidRDefault="00000000">
      <w:pPr>
        <w:pStyle w:val="Heading2"/>
      </w:pPr>
      <w:bookmarkStart w:id="16" w:name="results"/>
      <w:bookmarkEnd w:id="7"/>
      <w:bookmarkEnd w:id="13"/>
      <w:r>
        <w:t>Results</w:t>
      </w:r>
    </w:p>
    <w:p w14:paraId="719AA40F" w14:textId="77777777" w:rsidR="00C908CA" w:rsidRDefault="00000000">
      <w:pPr>
        <w:pStyle w:val="FirstParagraph"/>
      </w:pPr>
      <w:r>
        <w:t>In all statistical tests, we adopt a significance level of .05. Greenhouse–Geisser corrected degrees of freedom were used where Mauchly’s test indicated that the assumption of sphericity was violated.</w:t>
      </w:r>
    </w:p>
    <w:p w14:paraId="5494CA36" w14:textId="77777777" w:rsidR="00C908CA" w:rsidRDefault="00000000">
      <w:pPr>
        <w:pStyle w:val="BodyText"/>
      </w:pPr>
      <w:r>
        <w:t>Participants that failed either the comprehension check before Test 1 or Test 2 were excluded from these analyses. Six participants were excluded based on this criterion (three from group High, and three from group Low).</w:t>
      </w:r>
    </w:p>
    <w:p w14:paraId="6B1E4FB5" w14:textId="77777777" w:rsidR="00C908CA" w:rsidRDefault="00000000">
      <w:pPr>
        <w:pStyle w:val="BodyText"/>
      </w:pPr>
      <w:r>
        <w:t xml:space="preserve">The dependent variable during training was the proportion of responses on a block in which participants selected the correct outcome. In </w:t>
      </w:r>
      <w:hyperlink w:anchor="fig-trainingExp1">
        <w:r>
          <w:rPr>
            <w:rStyle w:val="Hyperlink"/>
          </w:rPr>
          <w:t>Figure 4</w:t>
        </w:r>
      </w:hyperlink>
      <w:r>
        <w:t xml:space="preserve"> the mean accuracy for each similarity group is displayed across the four blocks of training. All groups showed a similar </w:t>
      </w:r>
      <w:r>
        <w:lastRenderedPageBreak/>
        <w:t>increase in responding across blocks, reaching an approximate accuracy of 0.85 in the final block of the experiment.</w:t>
      </w:r>
    </w:p>
    <w:p w14:paraId="04E4C7A5" w14:textId="77777777" w:rsidR="00C908CA" w:rsidRDefault="00000000">
      <w:pPr>
        <w:pStyle w:val="FigureTitle"/>
      </w:pPr>
      <w:bookmarkStart w:id="17" w:name="fig-trainingExp1"/>
      <w:r>
        <w:t>Figure 4</w:t>
      </w:r>
    </w:p>
    <w:p w14:paraId="57CBC634" w14:textId="77777777" w:rsidR="00C908CA" w:rsidRDefault="00000000">
      <w:pPr>
        <w:pStyle w:val="Caption"/>
      </w:pPr>
      <w:r>
        <w:t>Accuracy during the training phase of Experiment 1.</w:t>
      </w:r>
    </w:p>
    <w:p w14:paraId="3F7F9ABF" w14:textId="77777777" w:rsidR="00C908CA" w:rsidRDefault="00000000">
      <w:pPr>
        <w:pStyle w:val="FigureWithNote"/>
      </w:pPr>
      <w:r>
        <w:rPr>
          <w:noProof/>
        </w:rPr>
        <w:drawing>
          <wp:inline distT="0" distB="0" distL="0" distR="0" wp14:anchorId="20DBB070" wp14:editId="270C8857">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1D6073C5" w14:textId="77777777" w:rsidR="00C908CA" w:rsidRDefault="00000000">
      <w:pPr>
        <w:pStyle w:val="FigureNote"/>
      </w:pPr>
      <w:r>
        <w:rPr>
          <w:i/>
          <w:iCs/>
        </w:rPr>
        <w:t>Note</w:t>
      </w:r>
      <w:r>
        <w:t>. Proportion of accurate responses (±SEM) on the training phase of Experiment 1, plotted against the four blocks of trials, for each similarity group.</w:t>
      </w:r>
    </w:p>
    <w:p w14:paraId="18461300" w14:textId="77777777" w:rsidR="00C908CA" w:rsidRDefault="00000000">
      <w:pPr>
        <w:pStyle w:val="BodyText"/>
      </w:pPr>
      <w:r>
        <w:t xml:space="preserve">This was confirmed by a mixed model Analysis of Variance (ANOVA) with the within-subjects factor </w:t>
      </w:r>
      <w:r>
        <w:rPr>
          <w:i/>
          <w:iCs/>
        </w:rPr>
        <w:t>block</w:t>
      </w:r>
      <w:r>
        <w:t xml:space="preserve"> (1-4), and the between-subjects factor </w:t>
      </w:r>
      <w:r>
        <w:rPr>
          <w:i/>
          <w:iCs/>
        </w:rPr>
        <w:t>similarity</w:t>
      </w:r>
      <w:r>
        <w:t xml:space="preserve"> (High, Medium, and Low). Degrees of freedom were corrected by Greenhouse-Geisser when necessary. This analysis found a significant main effect of the </w:t>
      </w:r>
      <w:r>
        <w:rPr>
          <w:i/>
          <w:iCs/>
        </w:rPr>
        <w:t>block</w:t>
      </w:r>
      <w:r>
        <w:t xml:space="preserve">, with extreme Bayesian evidence for the alternative hypothesis, </w:t>
      </w:r>
      <w:r>
        <w:rPr>
          <w:i/>
          <w:iCs/>
        </w:rPr>
        <w:t>F</w:t>
      </w:r>
      <w:r>
        <w:t xml:space="preserve">(2.28, 184.81) = 54.69,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.40, BF</w:t>
      </w:r>
      <w:r>
        <w:rPr>
          <w:vertAlign w:val="subscript"/>
        </w:rPr>
        <w:t>10</w:t>
      </w:r>
      <w:r>
        <w:t xml:space="preserve"> = 3.7x10</w:t>
      </w:r>
      <w:r>
        <w:rPr>
          <w:vertAlign w:val="superscript"/>
        </w:rPr>
        <w:t>23</w:t>
      </w:r>
      <w:r>
        <w:t xml:space="preserve"> ± 1.72%. There was no main effect of </w:t>
      </w:r>
      <w:r>
        <w:rPr>
          <w:i/>
          <w:iCs/>
        </w:rPr>
        <w:t>similarity</w:t>
      </w:r>
      <w:r>
        <w:t xml:space="preserve">, </w:t>
      </w:r>
      <w:r>
        <w:rPr>
          <w:i/>
          <w:iCs/>
        </w:rPr>
        <w:t>F</w:t>
      </w:r>
      <w:r>
        <w:t xml:space="preserve">(2, 81) = 0.23, </w:t>
      </w:r>
      <w:r>
        <w:rPr>
          <w:i/>
          <w:iCs/>
        </w:rPr>
        <w:t>p</w:t>
      </w:r>
      <w:r>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0.18 ± 13.22% nor an </w:t>
      </w:r>
      <w:r>
        <w:lastRenderedPageBreak/>
        <w:t xml:space="preserve">interaction effect, </w:t>
      </w:r>
      <w:r>
        <w:rPr>
          <w:i/>
          <w:iCs/>
        </w:rPr>
        <w:t>F</w:t>
      </w:r>
      <w:r>
        <w:t xml:space="preserve">(4.56, 184.81) = 1.45, </w:t>
      </w:r>
      <w:r>
        <w:rPr>
          <w:i/>
          <w:iCs/>
        </w:rPr>
        <w:t>p</w:t>
      </w:r>
      <w:r>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0.06 ± 38.88%, with both showing moderate Bayesian evidence for the null hypothesis. These results indicate that the training was equally effective for the three similarity groups, all of them increasing their performance as the phase progressed.</w:t>
      </w:r>
    </w:p>
    <w:p w14:paraId="5353B6F3" w14:textId="77777777" w:rsidR="00C908CA" w:rsidRDefault="00000000">
      <w:pPr>
        <w:pStyle w:val="BodyText"/>
      </w:pPr>
      <w:r>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Pr>
          <w:i/>
          <w:iCs/>
        </w:rPr>
        <w:t>r</w:t>
      </w:r>
      <w:r>
        <w:t xml:space="preserve">(166) = .92, </w:t>
      </w:r>
      <w:r>
        <w:rPr>
          <w:i/>
          <w:iCs/>
        </w:rPr>
        <w:t>p</w:t>
      </w:r>
      <w:r>
        <w:t xml:space="preserve"> &lt; .001, BF</w:t>
      </w:r>
      <w:r>
        <w:rPr>
          <w:vertAlign w:val="subscript"/>
        </w:rPr>
        <w:t>10</w:t>
      </w:r>
      <w:r>
        <w:t xml:space="preserve"> = 1x10</w:t>
      </w:r>
      <w:r>
        <w:rPr>
          <w:vertAlign w:val="superscript"/>
        </w:rPr>
        <w:t>63</w:t>
      </w:r>
      <w:r>
        <w:t xml:space="preserve"> ± 0% in Test 1, and </w:t>
      </w:r>
      <w:r>
        <w:rPr>
          <w:i/>
          <w:iCs/>
        </w:rPr>
        <w:t>r</w:t>
      </w:r>
      <w:r>
        <w:t xml:space="preserve">(166) = .93, </w:t>
      </w:r>
      <w:r>
        <w:rPr>
          <w:i/>
          <w:iCs/>
        </w:rPr>
        <w:t>p</w:t>
      </w:r>
      <w:r>
        <w:t xml:space="preserve"> &lt; .001, BF</w:t>
      </w:r>
      <w:r>
        <w:rPr>
          <w:vertAlign w:val="subscript"/>
        </w:rPr>
        <w:t>10</w:t>
      </w:r>
      <w:r>
        <w:t xml:space="preserve"> = 5.2x10</w:t>
      </w:r>
      <w:r>
        <w:rPr>
          <w:vertAlign w:val="superscript"/>
        </w:rPr>
        <w:t>69</w:t>
      </w:r>
      <w:r>
        <w:t xml:space="preserve"> ± 0% in Test 2. Mean memory scores for Test 1 are displayed in </w:t>
      </w:r>
      <w:hyperlink w:anchor="fig-test1Exp1">
        <w:r>
          <w:rPr>
            <w:rStyle w:val="Hyperlink"/>
          </w:rPr>
          <w:t>Figure 5</w:t>
        </w:r>
      </w:hyperlink>
      <w:r>
        <w:t>. In groups Low and Medium similarity, memory score was higher for the predictive than the non-predictive cue, whereas this tendency was inverted in the High group. Also, groups Low and Medium showed higher memory score than group Low.</w:t>
      </w:r>
    </w:p>
    <w:p w14:paraId="4D9E5AD9" w14:textId="77777777" w:rsidR="00C908CA" w:rsidRDefault="00000000">
      <w:pPr>
        <w:pStyle w:val="FigureTitle"/>
      </w:pPr>
      <w:bookmarkStart w:id="18" w:name="fig-test1Exp1"/>
      <w:r>
        <w:lastRenderedPageBreak/>
        <w:t>Figure 5</w:t>
      </w:r>
    </w:p>
    <w:p w14:paraId="4F10171D" w14:textId="77777777" w:rsidR="00C908CA" w:rsidRDefault="00000000">
      <w:pPr>
        <w:pStyle w:val="Caption"/>
      </w:pPr>
      <w:r>
        <w:t>Memory scores during Test 1 of Experiment 1.</w:t>
      </w:r>
    </w:p>
    <w:p w14:paraId="37539D09" w14:textId="77777777" w:rsidR="00C908CA" w:rsidRDefault="00000000">
      <w:pPr>
        <w:pStyle w:val="FigureWithNote"/>
      </w:pPr>
      <w:r>
        <w:rPr>
          <w:noProof/>
        </w:rPr>
        <w:drawing>
          <wp:inline distT="0" distB="0" distL="0" distR="0" wp14:anchorId="26D7284E" wp14:editId="273202BE">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1DBC3285" w14:textId="77777777" w:rsidR="00C908CA" w:rsidRDefault="00000000">
      <w:pPr>
        <w:pStyle w:val="FigureNote"/>
      </w:pPr>
      <w:r>
        <w:rPr>
          <w:i/>
          <w:iCs/>
        </w:rPr>
        <w:t>Note</w:t>
      </w:r>
      <w:r>
        <w:t>. Mean memory scores (±SEM) on Test 1 of Experiment 1 for predictive and non-predictive trials in the High, Medium and Low similarity groups.</w:t>
      </w:r>
    </w:p>
    <w:p w14:paraId="57EAE065" w14:textId="77777777" w:rsidR="00C908CA" w:rsidRDefault="00000000">
      <w:pPr>
        <w:pStyle w:val="BodyText"/>
      </w:pPr>
      <w:r>
        <w:t xml:space="preserve">These differences, however, were very small, and a mixed model ANOVA of the memory scores revealed none of the main effects or the interaction were significant: </w:t>
      </w:r>
      <w:r>
        <w:rPr>
          <w:i/>
          <w:iCs/>
        </w:rPr>
        <w:t>similarity</w:t>
      </w:r>
      <w:r>
        <w:t xml:space="preserve">: </w:t>
      </w:r>
      <w:r>
        <w:rPr>
          <w:i/>
          <w:iCs/>
        </w:rPr>
        <w:t>F</w:t>
      </w:r>
      <w:r>
        <w:t xml:space="preserve">(2, 81) = 1.29,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0.34 ± 1.93%; </w:t>
      </w:r>
      <w:r>
        <w:rPr>
          <w:i/>
          <w:iCs/>
        </w:rPr>
        <w:t>predictiveness</w:t>
      </w:r>
      <w:r>
        <w:t xml:space="preserve">: </w:t>
      </w:r>
      <w:r>
        <w:rPr>
          <w:i/>
          <w:iCs/>
        </w:rPr>
        <w:t>F</w:t>
      </w:r>
      <w:r>
        <w:t xml:space="preserve">(1, 81) = 1.17,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0.31 ± 8.8%; </w:t>
      </w:r>
      <w:r>
        <w:rPr>
          <w:i/>
          <w:iCs/>
        </w:rPr>
        <w:t>similarity x predictiveness</w:t>
      </w:r>
      <w:r>
        <w:t xml:space="preserve">: </w:t>
      </w:r>
      <w:r>
        <w:rPr>
          <w:i/>
          <w:iCs/>
        </w:rPr>
        <w:t>F</w:t>
      </w:r>
      <w:r>
        <w:t xml:space="preserve">(2, 81) = 0.85, </w:t>
      </w:r>
      <w:r>
        <w:rPr>
          <w:i/>
          <w:iCs/>
        </w:rPr>
        <w:t>p</w:t>
      </w:r>
      <w:r>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1.93%. Of note, there was moderate evidence for a null-effect of predictiveness, suggesting that Test 1 failed to reveal any differences in cue-processing between predictive and non-predictive cues.</w:t>
      </w:r>
    </w:p>
    <w:p w14:paraId="68AF78DA" w14:textId="77777777" w:rsidR="00C908CA" w:rsidRDefault="00000000">
      <w:pPr>
        <w:pStyle w:val="BodyText"/>
      </w:pPr>
      <w:hyperlink w:anchor="fig-test2Exp1">
        <w:r>
          <w:rPr>
            <w:rStyle w:val="Hyperlink"/>
          </w:rPr>
          <w:t>Figure 6</w:t>
        </w:r>
      </w:hyperlink>
      <w:r>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2EBC2E32" w14:textId="77777777" w:rsidR="00C908CA" w:rsidRDefault="00000000">
      <w:pPr>
        <w:pStyle w:val="FigureTitle"/>
      </w:pPr>
      <w:bookmarkStart w:id="19" w:name="fig-test2Exp1"/>
      <w:r>
        <w:t>Figure 6</w:t>
      </w:r>
    </w:p>
    <w:p w14:paraId="0444F654" w14:textId="77777777" w:rsidR="00C908CA" w:rsidRDefault="00000000">
      <w:pPr>
        <w:pStyle w:val="Caption"/>
      </w:pPr>
      <w:r>
        <w:t>Memory scores during Test 2 of Experiment 1.</w:t>
      </w:r>
    </w:p>
    <w:p w14:paraId="64AAB6E6" w14:textId="77777777" w:rsidR="00C908CA" w:rsidRDefault="00000000">
      <w:pPr>
        <w:pStyle w:val="FigureWithNote"/>
      </w:pPr>
      <w:r>
        <w:rPr>
          <w:noProof/>
        </w:rPr>
        <w:drawing>
          <wp:inline distT="0" distB="0" distL="0" distR="0" wp14:anchorId="449FF4A9" wp14:editId="4779D5BB">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04379337" w14:textId="77777777" w:rsidR="00C908CA" w:rsidRDefault="00000000">
      <w:pPr>
        <w:pStyle w:val="FigureNote"/>
      </w:pPr>
      <w:r>
        <w:rPr>
          <w:i/>
          <w:iCs/>
        </w:rPr>
        <w:t>Note</w:t>
      </w:r>
      <w:r>
        <w:t xml:space="preserve">.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w:t>
      </w:r>
      <w:r>
        <w:lastRenderedPageBreak/>
        <w:t>target was presented with a non-predictive foil (P-Incon), and trials in which a predictive target was presented with a predictive foil (P-Con).</w:t>
      </w:r>
    </w:p>
    <w:p w14:paraId="6317498B" w14:textId="77777777" w:rsidR="00C908CA" w:rsidRDefault="00000000">
      <w:pPr>
        <w:pStyle w:val="BodyText"/>
      </w:pPr>
      <w:r>
        <w:t xml:space="preserve">These data were analysed using a mixed ANOVA of memory scores with the factors of </w:t>
      </w:r>
      <w:r>
        <w:rPr>
          <w:i/>
          <w:iCs/>
        </w:rPr>
        <w:t>predictiveness</w:t>
      </w:r>
      <w:r>
        <w:t xml:space="preserve"> (predictive vs. non-predictive target cue), </w:t>
      </w:r>
      <w:r>
        <w:rPr>
          <w:i/>
          <w:iCs/>
        </w:rPr>
        <w:t>congruence</w:t>
      </w:r>
      <w:r>
        <w:t xml:space="preserve"> (target and foil same predictiveness or not), and </w:t>
      </w:r>
      <w:r>
        <w:rPr>
          <w:i/>
          <w:iCs/>
        </w:rPr>
        <w:t>similarity</w:t>
      </w:r>
      <w:r>
        <w:t xml:space="preserve"> (High, Medium, Low). This analysis found that the only significant differences were due to the main effect of </w:t>
      </w:r>
      <w:r>
        <w:rPr>
          <w:i/>
          <w:iCs/>
        </w:rPr>
        <w:t>predictiveness</w:t>
      </w:r>
      <w:r>
        <w:t xml:space="preserve">, with strong Bayesian evidence for the alternative hypothesis, </w:t>
      </w:r>
      <w:r>
        <w:rPr>
          <w:i/>
          <w:iCs/>
        </w:rPr>
        <w:t>F</w:t>
      </w:r>
      <w:r>
        <w:t xml:space="preserve">(1, 81) = 5.58, </w:t>
      </w:r>
      <w:r>
        <w:rPr>
          <w:i/>
          <w:iCs/>
        </w:rPr>
        <w:t>p</w:t>
      </w:r>
      <w:r>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12.36 ± 7.97%. No other significant effects were found, and the Bayesian evidence was moderate for the null hypothesis for all of them: </w:t>
      </w:r>
      <w:r>
        <w:rPr>
          <w:i/>
          <w:iCs/>
        </w:rPr>
        <w:t>similarity</w:t>
      </w:r>
      <w:r>
        <w:t xml:space="preserve">: </w:t>
      </w:r>
      <w:r>
        <w:rPr>
          <w:i/>
          <w:iCs/>
        </w:rPr>
        <w:t>F</w:t>
      </w:r>
      <w:r>
        <w:t xml:space="preserve">(2, 81) = 0.41, </w:t>
      </w:r>
      <w:r>
        <w:rPr>
          <w:i/>
          <w:iCs/>
        </w:rPr>
        <w:t>p</w:t>
      </w:r>
      <w:r>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0.22 ± 14.58%; </w:t>
      </w:r>
      <w:r>
        <w:rPr>
          <w:i/>
          <w:iCs/>
        </w:rPr>
        <w:t>congruence</w:t>
      </w:r>
      <w:r>
        <w:t xml:space="preserve">: </w:t>
      </w:r>
      <w:r>
        <w:rPr>
          <w:i/>
          <w:iCs/>
        </w:rPr>
        <w:t>F</w:t>
      </w:r>
      <w:r>
        <w:t xml:space="preserve">(1, 81) = 0.29, </w:t>
      </w:r>
      <w:r>
        <w:rPr>
          <w:i/>
          <w:iCs/>
        </w:rPr>
        <w:t>p</w:t>
      </w:r>
      <w:r>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0.12 ± 2.54%; </w:t>
      </w:r>
      <w:r>
        <w:rPr>
          <w:i/>
          <w:iCs/>
        </w:rPr>
        <w:t>similarity x predictiveness</w:t>
      </w:r>
      <w:r>
        <w:t xml:space="preserve">: </w:t>
      </w:r>
      <w:r>
        <w:rPr>
          <w:i/>
          <w:iCs/>
        </w:rPr>
        <w:t>F</w:t>
      </w:r>
      <w:r>
        <w:t xml:space="preserve">(2, 81) = 0.97, </w:t>
      </w:r>
      <w:r>
        <w:rPr>
          <w:i/>
          <w:iCs/>
        </w:rPr>
        <w:t>p</w:t>
      </w:r>
      <w:r>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 ± 29.38%; </w:t>
      </w:r>
      <w:r>
        <w:rPr>
          <w:i/>
          <w:iCs/>
        </w:rPr>
        <w:t>predictiveness x congruence</w:t>
      </w:r>
      <w:r>
        <w:t xml:space="preserve">: </w:t>
      </w:r>
      <w:r>
        <w:rPr>
          <w:i/>
          <w:iCs/>
        </w:rPr>
        <w:t>F</w:t>
      </w:r>
      <w:r>
        <w:t xml:space="preserve">(1, 81) = 0.42, </w:t>
      </w:r>
      <w:r>
        <w:rPr>
          <w:i/>
          <w:iCs/>
        </w:rPr>
        <w:t>p</w:t>
      </w:r>
      <w:r>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0.15 ± 20.48%; </w:t>
      </w:r>
      <w:r>
        <w:rPr>
          <w:i/>
          <w:iCs/>
        </w:rPr>
        <w:t>similarity x congruence</w:t>
      </w:r>
      <w:r>
        <w:t xml:space="preserve">: </w:t>
      </w:r>
      <w:r>
        <w:rPr>
          <w:i/>
          <w:iCs/>
        </w:rPr>
        <w:t>F</w:t>
      </w:r>
      <w:r>
        <w:t xml:space="preserve">(2, 81) = 2.61, </w:t>
      </w:r>
      <w:r>
        <w:rPr>
          <w:i/>
          <w:iCs/>
        </w:rPr>
        <w:t>p</w:t>
      </w:r>
      <w:r>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0.26 ± 32.91%; </w:t>
      </w:r>
      <w:r>
        <w:rPr>
          <w:i/>
          <w:iCs/>
        </w:rPr>
        <w:t>similarity x predictiveness x congruence</w:t>
      </w:r>
      <w:r>
        <w:t xml:space="preserve">: </w:t>
      </w:r>
      <w:r>
        <w:rPr>
          <w:i/>
          <w:iCs/>
        </w:rPr>
        <w:t>F</w:t>
      </w:r>
      <w:r>
        <w:t xml:space="preserve">(2, 81) = 0.03, </w:t>
      </w:r>
      <w:r>
        <w:rPr>
          <w:i/>
          <w:iCs/>
        </w:rPr>
        <w:t>p</w:t>
      </w:r>
      <w:r>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0.04 ± 59.03%. The results indicate that, in Test 2, participants showed better memory for predictive than non-predictive cues, but there were no differences due to the congruence of the test trial, nor the similarity of the foils to the training stimuli.</w:t>
      </w:r>
    </w:p>
    <w:p w14:paraId="0F6D4BEA" w14:textId="77777777" w:rsidR="00C908CA" w:rsidRDefault="00000000">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Pr>
          <w:i/>
          <w:iCs/>
        </w:rPr>
        <w:t>predictiveness</w:t>
      </w:r>
      <w:r>
        <w:t xml:space="preserve"> (predictive vs non-predictive) and </w:t>
      </w:r>
      <w:r>
        <w:rPr>
          <w:i/>
          <w:iCs/>
        </w:rPr>
        <w:t>congruence</w:t>
      </w:r>
      <w:r>
        <w:t xml:space="preserve"> (congruent vs incongruent). In group Low, there was no main effect </w:t>
      </w:r>
      <w:r>
        <w:lastRenderedPageBreak/>
        <w:t xml:space="preserve">of </w:t>
      </w:r>
      <w:r>
        <w:rPr>
          <w:i/>
          <w:iCs/>
        </w:rPr>
        <w:t>predictiveness</w:t>
      </w:r>
      <w:r>
        <w:t xml:space="preserve">, </w:t>
      </w:r>
      <w:r>
        <w:rPr>
          <w:i/>
          <w:iCs/>
        </w:rPr>
        <w:t>F</w:t>
      </w:r>
      <w:r>
        <w:t xml:space="preserve">(1, 26) = 0.46, </w:t>
      </w:r>
      <w:r>
        <w:rPr>
          <w:i/>
          <w:iCs/>
        </w:rPr>
        <w:t>p</w:t>
      </w:r>
      <w:r>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0.27 ± 2.82%, nor of </w:t>
      </w:r>
      <w:r>
        <w:rPr>
          <w:i/>
          <w:iCs/>
        </w:rPr>
        <w:t>congruence</w:t>
      </w:r>
      <w:r>
        <w:t xml:space="preserve">, </w:t>
      </w:r>
      <w:r>
        <w:rPr>
          <w:i/>
          <w:iCs/>
        </w:rPr>
        <w:t>F</w:t>
      </w:r>
      <w:r>
        <w:t xml:space="preserve">(1, 26) = 1.20, </w:t>
      </w:r>
      <w:r>
        <w:rPr>
          <w:i/>
          <w:iCs/>
        </w:rPr>
        <w:t>p</w:t>
      </w:r>
      <w:r>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 BF</w:t>
      </w:r>
      <w:r>
        <w:rPr>
          <w:vertAlign w:val="subscript"/>
        </w:rPr>
        <w:t>10</w:t>
      </w:r>
      <w:r>
        <w:t xml:space="preserve"> = 0.22 ± 3.16% and no interaction, , BF</w:t>
      </w:r>
      <w:r>
        <w:rPr>
          <w:vertAlign w:val="subscript"/>
        </w:rPr>
        <w:t>10</w:t>
      </w:r>
      <w:r>
        <w:t xml:space="preserve"> = 0.27 ± 8.44%. For group Medium, there was also no effect of </w:t>
      </w:r>
      <w:r>
        <w:rPr>
          <w:i/>
          <w:iCs/>
        </w:rPr>
        <w:t>predictiveness</w:t>
      </w:r>
      <w:r>
        <w:t xml:space="preserve">: </w:t>
      </w:r>
      <w:r>
        <w:rPr>
          <w:i/>
          <w:iCs/>
        </w:rPr>
        <w:t>F</w:t>
      </w:r>
      <w:r>
        <w:t xml:space="preserve">(1, 29) = 0.74, </w:t>
      </w:r>
      <w:r>
        <w:rPr>
          <w:i/>
          <w:iCs/>
        </w:rPr>
        <w:t>p</w:t>
      </w:r>
      <w:r>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0.37 ± 4.47%, </w:t>
      </w:r>
      <w:r>
        <w:rPr>
          <w:i/>
          <w:iCs/>
        </w:rPr>
        <w:t>congruence</w:t>
      </w:r>
      <w:r>
        <w:t xml:space="preserve">: </w:t>
      </w:r>
      <w:r>
        <w:rPr>
          <w:i/>
          <w:iCs/>
        </w:rPr>
        <w:t>F</w:t>
      </w:r>
      <w:r>
        <w:t xml:space="preserve">(1, 29) = 2.80, </w:t>
      </w:r>
      <w:r>
        <w:rPr>
          <w:i/>
          <w:iCs/>
        </w:rPr>
        <w:t>p</w:t>
      </w:r>
      <w:r>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0.27 ± 3.76%, and no interaction </w:t>
      </w:r>
      <w:r>
        <w:rPr>
          <w:i/>
          <w:iCs/>
        </w:rPr>
        <w:t>group x predictiveness</w:t>
      </w:r>
      <w:r>
        <w:t>: , BF</w:t>
      </w:r>
      <w:r>
        <w:rPr>
          <w:vertAlign w:val="subscript"/>
        </w:rPr>
        <w:t>10</w:t>
      </w:r>
      <w:r>
        <w:t xml:space="preserve"> = 0.24 ± 10.52%). However, for group High there was a significant effect of </w:t>
      </w:r>
      <w:r>
        <w:rPr>
          <w:i/>
          <w:iCs/>
        </w:rPr>
        <w:t>predictiveness</w:t>
      </w:r>
      <w:r>
        <w:t xml:space="preserve">, </w:t>
      </w:r>
      <w:r>
        <w:rPr>
          <w:i/>
          <w:iCs/>
        </w:rPr>
        <w:t>F</w:t>
      </w:r>
      <w:r>
        <w:t xml:space="preserve">(1, 26) = 7.71, </w:t>
      </w:r>
      <w:r>
        <w:rPr>
          <w:i/>
          <w:iCs/>
        </w:rPr>
        <w:t>p</w:t>
      </w:r>
      <w:r>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.23, BF</w:t>
      </w:r>
      <w:r>
        <w:rPr>
          <w:vertAlign w:val="subscript"/>
        </w:rPr>
        <w:t>10</w:t>
      </w:r>
      <w:r>
        <w:t xml:space="preserve"> = 73.81 ± 2.86%, but no effect of </w:t>
      </w:r>
      <w:r>
        <w:rPr>
          <w:i/>
          <w:iCs/>
        </w:rPr>
        <w:t>congruence</w:t>
      </w:r>
      <w:r>
        <w:t xml:space="preserve">, </w:t>
      </w:r>
      <w:r>
        <w:rPr>
          <w:i/>
          <w:iCs/>
        </w:rPr>
        <w:t>F</w:t>
      </w:r>
      <w:r>
        <w:t xml:space="preserve">(1, 26) = 1.87, </w:t>
      </w:r>
      <w:r>
        <w:rPr>
          <w:i/>
          <w:iCs/>
        </w:rPr>
        <w:t>p</w:t>
      </w:r>
      <w:r>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0.29 ± 1.96%, and no interaction, </w:t>
      </w:r>
      <w:r>
        <w:rPr>
          <w:i/>
          <w:iCs/>
        </w:rPr>
        <w:t>F</w:t>
      </w:r>
      <w:r>
        <w:t xml:space="preserve">(1, 26) = 0.52, </w:t>
      </w:r>
      <w:r>
        <w:rPr>
          <w:i/>
          <w:iCs/>
        </w:rPr>
        <w:t>p</w:t>
      </w:r>
      <w:r>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0.26 ± 19.05%. These results indicate that the only group that had a better memory for predictive stimuli over non-predictive stimuli was the High similarity group, irrespective of the congruence between foil and target in test.</w:t>
      </w:r>
    </w:p>
    <w:p w14:paraId="6F06117E" w14:textId="77777777" w:rsidR="00C908CA" w:rsidRDefault="00000000">
      <w:pPr>
        <w:pStyle w:val="Heading2"/>
      </w:pPr>
      <w:bookmarkStart w:id="20" w:name="discussion"/>
      <w:bookmarkEnd w:id="16"/>
      <w:r>
        <w:t>Discussion</w:t>
      </w:r>
    </w:p>
    <w:p w14:paraId="56DA0589" w14:textId="77777777" w:rsidR="00C908CA" w:rsidRDefault="00000000">
      <w:pPr>
        <w:pStyle w:val="FirstParagraph"/>
      </w:pPr>
      <w:r>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colours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w:t>
      </w:r>
      <w:r>
        <w:lastRenderedPageBreak/>
        <w:t>further analysis showed that only the High similarity group (in which the colours changed in two out of the six circles) showed an effect of cue-predictiveness on recognition memory.</w:t>
      </w:r>
    </w:p>
    <w:p w14:paraId="05132EDE" w14:textId="77777777" w:rsidR="00C908CA" w:rsidRDefault="00000000">
      <w:pPr>
        <w:pStyle w:val="BodyText"/>
      </w:pPr>
      <w:r>
        <w:t>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14:paraId="4BF9A2CF" w14:textId="77777777" w:rsidR="00C908CA" w:rsidRDefault="00000000">
      <w:pPr>
        <w:pStyle w:val="BodyText"/>
      </w:pPr>
      <w:r>
        <w:t xml:space="preserve">Somewhat surprisingly there was no effect of foil-to-cue congruence in the data, with the predictiveness effect being observed both when the pairs of stimuli were congruent in their predictiveness (i.e., P-Con; NP-Con) and incongruent (i.e., P-Incon; NP-Incon). This is surprising, because there are seemingly different sources of memory that might contribute to </w:t>
      </w:r>
      <w:r>
        <w:lastRenderedPageBreak/>
        <w:t>these two trial types. Take for example the two trial types where the NP cue is the target stimulus. On NP-Con trials, the participant must rely on their memory of only NP cues to make a response, while on “NP-Incon” 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scores is whether the “P cue” was the target or the foil on the given trial: “P-Incon” trials are performed better than “NP-Incon” 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2E7C6D3" w14:textId="77777777" w:rsidR="00C908CA" w:rsidRDefault="00000000">
      <w:pPr>
        <w:pStyle w:val="Heading1"/>
      </w:pPr>
      <w:bookmarkStart w:id="21" w:name="experiment-2"/>
      <w:bookmarkEnd w:id="5"/>
      <w:bookmarkEnd w:id="20"/>
      <w:r>
        <w:t>Experiment 2</w:t>
      </w:r>
    </w:p>
    <w:p w14:paraId="50C36E82" w14:textId="77777777" w:rsidR="00C908CA" w:rsidRDefault="00000000">
      <w:pPr>
        <w:pStyle w:val="FirstParagraph"/>
      </w:pPr>
      <w:r>
        <w:t>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using these stimuli that a difference in memory performance between predictive and non-predictive stimuli was established.</w:t>
      </w:r>
    </w:p>
    <w:p w14:paraId="7473539B" w14:textId="77777777" w:rsidR="00C908CA" w:rsidRDefault="00000000">
      <w:pPr>
        <w:pStyle w:val="BodyText"/>
      </w:pPr>
      <w:r>
        <w:lastRenderedPageBreak/>
        <w:t xml:space="preserve">The design of Experiment 2 is shown in </w:t>
      </w:r>
      <w:hyperlink w:anchor="tbl-exp2">
        <w:r>
          <w:rPr>
            <w:rStyle w:val="Hyperlink"/>
          </w:rPr>
          <w:t>Table 2</w:t>
        </w:r>
      </w:hyperlink>
      <w:r>
        <w:t>. Previous experiments have established that for uncertain contingencies, participants spend longer attending to (looking at) all cues compared to attention to cues in certain contingencies (Beesley et al., 2015; Easdale et al., 2019; Walker et al., 2022).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p w14:paraId="075B4E1C" w14:textId="77777777" w:rsidR="00C908CA" w:rsidRDefault="00000000">
      <w:pPr>
        <w:pStyle w:val="FigureTitle"/>
      </w:pPr>
      <w:bookmarkStart w:id="22" w:name="tbl-exp2"/>
      <w:r>
        <w:t>Table 2</w:t>
      </w:r>
    </w:p>
    <w:p w14:paraId="54D031C2" w14:textId="77777777" w:rsidR="00C908CA" w:rsidRDefault="00000000">
      <w:pPr>
        <w:pStyle w:val="Caption"/>
      </w:pPr>
      <w:r>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C908CA" w14:paraId="1325BE8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650" w:type="dxa"/>
          </w:tcPr>
          <w:p w14:paraId="5211B20C" w14:textId="77777777" w:rsidR="00C908CA" w:rsidRDefault="00000000">
            <w:pPr>
              <w:pStyle w:val="Compact"/>
            </w:pPr>
            <w:r>
              <w:t>Group</w:t>
            </w:r>
          </w:p>
        </w:tc>
        <w:tc>
          <w:tcPr>
            <w:tcW w:w="3080" w:type="dxa"/>
          </w:tcPr>
          <w:p w14:paraId="0BE856A5" w14:textId="77777777" w:rsidR="00C908CA" w:rsidRDefault="00000000">
            <w:pPr>
              <w:pStyle w:val="Compact"/>
              <w:jc w:val="center"/>
            </w:pPr>
            <w:r>
              <w:t>Training</w:t>
            </w:r>
          </w:p>
        </w:tc>
        <w:tc>
          <w:tcPr>
            <w:tcW w:w="2090" w:type="dxa"/>
          </w:tcPr>
          <w:p w14:paraId="6B50BB13" w14:textId="77777777" w:rsidR="00C908CA" w:rsidRDefault="00000000">
            <w:pPr>
              <w:pStyle w:val="Compact"/>
              <w:jc w:val="center"/>
            </w:pPr>
            <w:r>
              <w:t>Test</w:t>
            </w:r>
          </w:p>
        </w:tc>
      </w:tr>
      <w:tr w:rsidR="00C908CA" w:rsidRPr="00D56862" w14:paraId="3662EAA0" w14:textId="77777777">
        <w:tc>
          <w:tcPr>
            <w:tcW w:w="1650" w:type="dxa"/>
          </w:tcPr>
          <w:p w14:paraId="2A0A961C" w14:textId="77777777" w:rsidR="00C908CA" w:rsidRDefault="00000000">
            <w:pPr>
              <w:pStyle w:val="Compact"/>
            </w:pPr>
            <w:r>
              <w:t>Certain</w:t>
            </w:r>
          </w:p>
        </w:tc>
        <w:tc>
          <w:tcPr>
            <w:tcW w:w="3080" w:type="dxa"/>
          </w:tcPr>
          <w:p w14:paraId="732D86F0" w14:textId="77777777" w:rsidR="00C908CA" w:rsidRPr="00D56862" w:rsidRDefault="00000000">
            <w:pPr>
              <w:pStyle w:val="FigureWithNote"/>
              <w:jc w:val="center"/>
              <w:rPr>
                <w:lang w:val="es-ES"/>
              </w:rPr>
            </w:pPr>
            <w:r w:rsidRPr="00D56862">
              <w:rPr>
                <w:lang w:val="es-ES"/>
              </w:rPr>
              <w:t>AX - O1</w:t>
            </w:r>
          </w:p>
          <w:p w14:paraId="349E8C11" w14:textId="77777777" w:rsidR="00C908CA" w:rsidRPr="00D56862" w:rsidRDefault="00000000">
            <w:pPr>
              <w:pStyle w:val="FigureWithNote"/>
              <w:jc w:val="center"/>
              <w:rPr>
                <w:lang w:val="es-ES"/>
              </w:rPr>
            </w:pPr>
            <w:r w:rsidRPr="00D56862">
              <w:rPr>
                <w:lang w:val="es-ES"/>
              </w:rPr>
              <w:t>AY - O1</w:t>
            </w:r>
          </w:p>
          <w:p w14:paraId="41702ACA" w14:textId="77777777" w:rsidR="00C908CA" w:rsidRPr="00D56862" w:rsidRDefault="00000000">
            <w:pPr>
              <w:pStyle w:val="FigureWithNote"/>
              <w:jc w:val="center"/>
              <w:rPr>
                <w:lang w:val="es-ES"/>
              </w:rPr>
            </w:pPr>
            <w:r w:rsidRPr="00D56862">
              <w:rPr>
                <w:lang w:val="es-ES"/>
              </w:rPr>
              <w:t>BX - O2</w:t>
            </w:r>
          </w:p>
          <w:p w14:paraId="07264D38" w14:textId="77777777" w:rsidR="00C908CA" w:rsidRPr="00D56862" w:rsidRDefault="00000000">
            <w:pPr>
              <w:pStyle w:val="FigureWithNote"/>
              <w:jc w:val="center"/>
              <w:rPr>
                <w:lang w:val="es-ES"/>
              </w:rPr>
            </w:pPr>
            <w:r w:rsidRPr="00D56862">
              <w:rPr>
                <w:lang w:val="es-ES"/>
              </w:rPr>
              <w:t>BY - O2</w:t>
            </w:r>
          </w:p>
        </w:tc>
        <w:tc>
          <w:tcPr>
            <w:tcW w:w="2090" w:type="dxa"/>
          </w:tcPr>
          <w:p w14:paraId="636D1BE8"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BD486D1"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3450393"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19A6FDCA"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D56862" w14:paraId="50AD6FCA" w14:textId="77777777">
        <w:tc>
          <w:tcPr>
            <w:tcW w:w="1650" w:type="dxa"/>
          </w:tcPr>
          <w:p w14:paraId="0BCFD777" w14:textId="77777777" w:rsidR="00C908CA" w:rsidRDefault="00000000">
            <w:pPr>
              <w:pStyle w:val="Compact"/>
            </w:pPr>
            <w:r>
              <w:t>Uncertain</w:t>
            </w:r>
          </w:p>
        </w:tc>
        <w:tc>
          <w:tcPr>
            <w:tcW w:w="3080" w:type="dxa"/>
          </w:tcPr>
          <w:p w14:paraId="3F89B3D1" w14:textId="77777777" w:rsidR="00C908CA" w:rsidRPr="00D56862" w:rsidRDefault="00000000">
            <w:pPr>
              <w:pStyle w:val="FigureWithNote"/>
              <w:jc w:val="center"/>
              <w:rPr>
                <w:lang w:val="es-ES"/>
              </w:rPr>
            </w:pPr>
            <w:r w:rsidRPr="00D56862">
              <w:rPr>
                <w:lang w:val="es-ES"/>
              </w:rPr>
              <w:t>0.8 AX - O1 / 0.2 AX - O2</w:t>
            </w:r>
          </w:p>
          <w:p w14:paraId="20C42C9F" w14:textId="77777777" w:rsidR="00C908CA" w:rsidRPr="00D56862" w:rsidRDefault="00000000">
            <w:pPr>
              <w:pStyle w:val="FigureWithNote"/>
              <w:jc w:val="center"/>
              <w:rPr>
                <w:lang w:val="es-ES"/>
              </w:rPr>
            </w:pPr>
            <w:r w:rsidRPr="00D56862">
              <w:rPr>
                <w:lang w:val="es-ES"/>
              </w:rPr>
              <w:t>0.8 AY - O1 / 0.2 AY - O2</w:t>
            </w:r>
          </w:p>
          <w:p w14:paraId="20F0A57B" w14:textId="77777777" w:rsidR="00C908CA" w:rsidRDefault="00000000">
            <w:pPr>
              <w:pStyle w:val="FigureWithNote"/>
              <w:jc w:val="center"/>
            </w:pPr>
            <w:r>
              <w:t>0.8 BX - O2 / 0.2 BX - O1</w:t>
            </w:r>
          </w:p>
          <w:p w14:paraId="4B0931BB" w14:textId="77777777" w:rsidR="00C908CA" w:rsidRDefault="00000000">
            <w:pPr>
              <w:pStyle w:val="FigureWithNote"/>
              <w:jc w:val="center"/>
            </w:pPr>
            <w:r>
              <w:t>0.8 BY - O2 / 0.2 BY - O1</w:t>
            </w:r>
          </w:p>
        </w:tc>
        <w:tc>
          <w:tcPr>
            <w:tcW w:w="2090" w:type="dxa"/>
          </w:tcPr>
          <w:p w14:paraId="3AC5A8CD"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4BE9A075"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CBD7621"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B69B0B8"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22"/>
    <w:p w14:paraId="28A6766B" w14:textId="77777777" w:rsidR="00C908CA" w:rsidRDefault="00000000">
      <w:pPr>
        <w:pStyle w:val="FigureNote"/>
      </w:pPr>
      <w:r>
        <w:rPr>
          <w:i/>
          <w:iCs/>
        </w:rPr>
        <w:t>Note</w:t>
      </w:r>
      <w:r>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1519BF24" w14:textId="77777777" w:rsidR="00C908CA" w:rsidRDefault="00000000">
      <w:pPr>
        <w:pStyle w:val="Heading2"/>
      </w:pPr>
      <w:bookmarkStart w:id="23" w:name="methods-1"/>
      <w:r>
        <w:lastRenderedPageBreak/>
        <w:t>Methods</w:t>
      </w:r>
    </w:p>
    <w:p w14:paraId="17C67A82" w14:textId="77777777" w:rsidR="00C908CA" w:rsidRDefault="00000000">
      <w:pPr>
        <w:pStyle w:val="Heading3"/>
      </w:pPr>
      <w:bookmarkStart w:id="24" w:name="participants-1"/>
      <w:r>
        <w:t>Participants</w:t>
      </w:r>
    </w:p>
    <w:p w14:paraId="34568A12" w14:textId="3DFCDB99" w:rsidR="00C908CA" w:rsidRDefault="00000000">
      <w:pPr>
        <w:pStyle w:val="FirstParagraph"/>
      </w:pPr>
      <w:r>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w:t>
      </w:r>
      <w:proofErr w:type="gramStart"/>
      <w:r>
        <w:t>similar to</w:t>
      </w:r>
      <w:proofErr w:type="gramEnd"/>
      <w:r>
        <w:t xml:space="preserve"> Le Pelley &amp; McLaren </w:t>
      </w:r>
      <w:r w:rsidR="00D56862">
        <w:t>(</w:t>
      </w:r>
      <w:r>
        <w:t xml:space="preserve">2003; see also </w:t>
      </w:r>
      <w:r w:rsidR="00D56862">
        <w:t xml:space="preserve">Le Pelley et al., 2013), </w:t>
      </w:r>
      <w:r>
        <w:t>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2"/>
      </w:r>
      <w:r>
        <w:t>. Post-hoc calculations using G*Power 3.1 (Faul et al., 2007) revealed that this sample size had a power of .99 to detect an effect size of η</w:t>
      </w:r>
      <w:r>
        <w:rPr>
          <w:vertAlign w:val="subscript"/>
        </w:rPr>
        <w:t>p</w:t>
      </w:r>
      <w:r>
        <w:rPr>
          <w:vertAlign w:val="superscript"/>
        </w:rPr>
        <w:t>2</w:t>
      </w:r>
      <w:r>
        <w:t xml:space="preserve"> = .06 that was observed for the </w:t>
      </w:r>
      <w:r>
        <w:rPr>
          <w:i/>
          <w:iCs/>
        </w:rPr>
        <w:t>group x predictiveness</w:t>
      </w:r>
      <w:r>
        <w:t xml:space="preserve"> interaction reported in </w:t>
      </w:r>
      <w:hyperlink w:anchor="fig-testExp2">
        <w:r>
          <w:rPr>
            <w:rStyle w:val="Hyperlink"/>
          </w:rPr>
          <w:t>Figure 8</w:t>
        </w:r>
      </w:hyperlink>
      <w:r>
        <w:t>.</w:t>
      </w:r>
    </w:p>
    <w:p w14:paraId="76FB9AE5" w14:textId="77777777" w:rsidR="00C908CA" w:rsidRDefault="00000000">
      <w:pPr>
        <w:pStyle w:val="Heading3"/>
      </w:pPr>
      <w:bookmarkStart w:id="25" w:name="apparatus-and-stimuli-1"/>
      <w:bookmarkEnd w:id="24"/>
      <w:r>
        <w:lastRenderedPageBreak/>
        <w:t>Apparatus and stimuli</w:t>
      </w:r>
    </w:p>
    <w:p w14:paraId="2D723289" w14:textId="77777777" w:rsidR="00C908CA" w:rsidRDefault="00000000">
      <w:pPr>
        <w:pStyle w:val="FirstParagraph"/>
      </w:pPr>
      <w:r>
        <w:t>The materials used for Experiment 2 were the same as in Experiment 1, with the stimuli taken from the High similarity group.</w:t>
      </w:r>
    </w:p>
    <w:p w14:paraId="1109889D" w14:textId="77777777" w:rsidR="00C908CA" w:rsidRDefault="00000000">
      <w:pPr>
        <w:pStyle w:val="Heading3"/>
      </w:pPr>
      <w:bookmarkStart w:id="26" w:name="design-1"/>
      <w:bookmarkEnd w:id="25"/>
      <w:r>
        <w:t>Design</w:t>
      </w:r>
    </w:p>
    <w:p w14:paraId="35CAB685" w14:textId="77777777" w:rsidR="00C908CA" w:rsidRDefault="00000000">
      <w:pPr>
        <w:pStyle w:val="FirstParagraph"/>
      </w:pPr>
      <w:r>
        <w:t xml:space="preserve">The design of Experiment 2 is shown in </w:t>
      </w:r>
      <w:hyperlink w:anchor="tbl-exp2">
        <w:r>
          <w:rPr>
            <w:rStyle w:val="Hyperlink"/>
          </w:rPr>
          <w:t>Table 2</w:t>
        </w:r>
      </w:hyperlink>
      <w:r>
        <w:t>.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non-predictive in the two groups. The training phase of this experiment consisted of eight blocks, resulting in a total of 160 trials. Training was followed by a test identical to Test 2 of Experiment 1.</w:t>
      </w:r>
    </w:p>
    <w:p w14:paraId="3CC8CABB" w14:textId="77777777" w:rsidR="00C908CA" w:rsidRDefault="00000000">
      <w:pPr>
        <w:pStyle w:val="Heading3"/>
      </w:pPr>
      <w:bookmarkStart w:id="27" w:name="procedure-1"/>
      <w:bookmarkEnd w:id="26"/>
      <w:r>
        <w:t>Procedure</w:t>
      </w:r>
    </w:p>
    <w:p w14:paraId="7E164D88" w14:textId="77777777" w:rsidR="00C908CA" w:rsidRDefault="00000000">
      <w:pPr>
        <w:pStyle w:val="FirstParagraph"/>
      </w:pPr>
      <w:r>
        <w:t>The procedure for both the training and test phases was identical to those described in Experiment 1.</w:t>
      </w:r>
    </w:p>
    <w:p w14:paraId="38A9664C" w14:textId="77777777" w:rsidR="00C908CA" w:rsidRDefault="00000000">
      <w:pPr>
        <w:pStyle w:val="Heading2"/>
      </w:pPr>
      <w:bookmarkStart w:id="28" w:name="results-1"/>
      <w:bookmarkEnd w:id="23"/>
      <w:bookmarkEnd w:id="27"/>
      <w:r>
        <w:t>Results</w:t>
      </w:r>
    </w:p>
    <w:p w14:paraId="55C6503E" w14:textId="77777777" w:rsidR="00C908CA" w:rsidRDefault="00000000">
      <w:pPr>
        <w:pStyle w:val="FirstParagraph"/>
      </w:pPr>
      <w:r>
        <w:t xml:space="preserve">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w:t>
      </w:r>
      <w:r>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3401442C" w14:textId="77777777" w:rsidR="00C908CA" w:rsidRDefault="00000000">
      <w:pPr>
        <w:pStyle w:val="BodyText"/>
      </w:pPr>
      <w:hyperlink w:anchor="fig-trainingExp2">
        <w:r>
          <w:rPr>
            <w:rStyle w:val="Hyperlink"/>
          </w:rPr>
          <w:t>Figure 7</w:t>
        </w:r>
      </w:hyperlink>
      <w:r>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54DB99D3" w14:textId="77777777" w:rsidR="00C908CA" w:rsidRDefault="00000000">
      <w:pPr>
        <w:pStyle w:val="FigureTitle"/>
      </w:pPr>
      <w:bookmarkStart w:id="29" w:name="fig-trainingExp2"/>
      <w:r>
        <w:t>Figure 7</w:t>
      </w:r>
    </w:p>
    <w:p w14:paraId="07A90434" w14:textId="77777777" w:rsidR="00C908CA" w:rsidRDefault="00000000">
      <w:pPr>
        <w:pStyle w:val="Caption"/>
      </w:pPr>
      <w:r>
        <w:t>PPR on the training phase of Experiment 2.</w:t>
      </w:r>
    </w:p>
    <w:p w14:paraId="7A12FC7A" w14:textId="77777777" w:rsidR="00C908CA" w:rsidRDefault="00000000">
      <w:pPr>
        <w:pStyle w:val="FigureWithNote"/>
      </w:pPr>
      <w:r>
        <w:rPr>
          <w:noProof/>
        </w:rPr>
        <w:drawing>
          <wp:inline distT="0" distB="0" distL="0" distR="0" wp14:anchorId="280934B6" wp14:editId="0437F26D">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56CE05C" w14:textId="77777777" w:rsidR="00C908CA" w:rsidRDefault="00000000">
      <w:pPr>
        <w:pStyle w:val="FigureNote"/>
      </w:pPr>
      <w:r>
        <w:rPr>
          <w:i/>
          <w:iCs/>
        </w:rPr>
        <w:t>Note</w:t>
      </w:r>
      <w:r>
        <w:t>. Mean proportion of probable responses (±SEM) during the training phase of Experiment 2, for groups trained with certain and uncertain contingencies.</w:t>
      </w:r>
    </w:p>
    <w:p w14:paraId="7CE815FD" w14:textId="77777777" w:rsidR="00C908CA" w:rsidRDefault="00000000">
      <w:pPr>
        <w:pStyle w:val="BodyText"/>
      </w:pPr>
      <w:r>
        <w:lastRenderedPageBreak/>
        <w:t xml:space="preserve">A mixed model ANOVA of individual PPR scores found significant both main effects, of </w:t>
      </w:r>
      <w:r>
        <w:rPr>
          <w:i/>
          <w:iCs/>
        </w:rPr>
        <w:t>group</w:t>
      </w:r>
      <w:r>
        <w:t xml:space="preserve">, </w:t>
      </w:r>
      <w:r>
        <w:rPr>
          <w:i/>
          <w:iCs/>
        </w:rPr>
        <w:t>F</w:t>
      </w:r>
      <w:r>
        <w:t xml:space="preserve">(1, 73) = 19.52,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.21, BF</w:t>
      </w:r>
      <w:r>
        <w:rPr>
          <w:vertAlign w:val="subscript"/>
        </w:rPr>
        <w:t>10</w:t>
      </w:r>
      <w:r>
        <w:t xml:space="preserve"> = 546.26 ± 1.67%, and of </w:t>
      </w:r>
      <w:r>
        <w:rPr>
          <w:i/>
          <w:iCs/>
        </w:rPr>
        <w:t>block</w:t>
      </w:r>
      <w:r>
        <w:t xml:space="preserve">,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2x10</w:t>
      </w:r>
      <w:r>
        <w:rPr>
          <w:vertAlign w:val="superscript"/>
        </w:rPr>
        <w:t>30</w:t>
      </w:r>
      <w:r>
        <w:t xml:space="preserve"> ± 1.1%. There was no interaction effect between these factors, </w:t>
      </w:r>
      <w:r>
        <w:rPr>
          <w:i/>
          <w:iCs/>
        </w:rPr>
        <w:t>F</w:t>
      </w:r>
      <w:r>
        <w:t xml:space="preserve">(5.26, 384.15) = 0.70, </w:t>
      </w:r>
      <w:r>
        <w:rPr>
          <w:i/>
          <w:iCs/>
        </w:rPr>
        <w:t>p</w:t>
      </w:r>
      <w:r>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with the Bayesian analysis providing strong evidence for the null hypothesis, BF</w:t>
      </w:r>
      <w:r>
        <w:rPr>
          <w:vertAlign w:val="subscript"/>
        </w:rPr>
        <w:t>10</w:t>
      </w:r>
      <w:r>
        <w:t xml:space="preserve"> = 0.01 ± 6.15%. These results indicate that the training increased the PPR for both groups, as the effect of block was significant, with the Certain group showing a consistently higher PPR than Uncertain group.</w:t>
      </w:r>
    </w:p>
    <w:p w14:paraId="6EA092AD" w14:textId="77777777" w:rsidR="00C908CA" w:rsidRDefault="00000000">
      <w:pPr>
        <w:pStyle w:val="BodyText"/>
      </w:pPr>
      <w:hyperlink w:anchor="fig-testExp2">
        <w:r>
          <w:rPr>
            <w:rStyle w:val="Hyperlink"/>
          </w:rPr>
          <w:t>Figure 8</w:t>
        </w:r>
      </w:hyperlink>
      <w:r>
        <w:t xml:space="preserve"> 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2127FC26" w14:textId="77777777" w:rsidR="00C908CA" w:rsidRDefault="00000000">
      <w:pPr>
        <w:pStyle w:val="FigureTitle"/>
      </w:pPr>
      <w:bookmarkStart w:id="30" w:name="fig-testExp2"/>
      <w:r>
        <w:lastRenderedPageBreak/>
        <w:t>Figure 8</w:t>
      </w:r>
    </w:p>
    <w:p w14:paraId="1600F6AE" w14:textId="77777777" w:rsidR="00C908CA" w:rsidRDefault="00000000">
      <w:pPr>
        <w:pStyle w:val="Caption"/>
      </w:pPr>
      <w:r>
        <w:t>Memory scores during the Test of Experiment 2.</w:t>
      </w:r>
    </w:p>
    <w:p w14:paraId="3E041F84" w14:textId="77777777" w:rsidR="00C908CA" w:rsidRDefault="00000000">
      <w:pPr>
        <w:pStyle w:val="FigureWithNote"/>
      </w:pPr>
      <w:r>
        <w:rPr>
          <w:noProof/>
        </w:rPr>
        <w:drawing>
          <wp:inline distT="0" distB="0" distL="0" distR="0" wp14:anchorId="715BFDEF" wp14:editId="7129BED2">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3F39EE88" w14:textId="77777777" w:rsidR="00C908CA" w:rsidRDefault="00000000">
      <w:pPr>
        <w:pStyle w:val="FigureNote"/>
      </w:pPr>
      <w:r>
        <w:rPr>
          <w:i/>
          <w:iCs/>
        </w:rPr>
        <w:t>Note</w:t>
      </w:r>
      <w:r>
        <w:t>. Mean memory scores (±SEM) during the Test phase of Experiment 2 for predictive and non-predictive trials in the Certain and Uncertain groups.</w:t>
      </w:r>
    </w:p>
    <w:p w14:paraId="2C80C09B" w14:textId="77777777" w:rsidR="00C908CA" w:rsidRDefault="00000000">
      <w:pPr>
        <w:pStyle w:val="BodyText"/>
      </w:pPr>
      <w:r>
        <w:t xml:space="preserve">A mixed model ANOVA of memory scores revealed a significant main effect of </w:t>
      </w:r>
      <w:r>
        <w:rPr>
          <w:i/>
          <w:iCs/>
        </w:rPr>
        <w:t>predictiveness</w:t>
      </w:r>
      <w:r>
        <w:t xml:space="preserve">, with moderate Bayesian evidence, </w:t>
      </w:r>
      <w:r>
        <w:rPr>
          <w:i/>
          <w:iCs/>
        </w:rPr>
        <w:t>F</w:t>
      </w:r>
      <w:r>
        <w:t xml:space="preserve">(1, 73) = 6.57, </w:t>
      </w:r>
      <w:r>
        <w:rPr>
          <w:i/>
          <w:iCs/>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.08, BF</w:t>
      </w:r>
      <w:r>
        <w:rPr>
          <w:vertAlign w:val="subscript"/>
        </w:rPr>
        <w:t>10</w:t>
      </w:r>
      <w:r>
        <w:t xml:space="preserve"> = 3.69 ± 2.91% and a significant </w:t>
      </w:r>
      <w:r>
        <w:rPr>
          <w:i/>
          <w:iCs/>
        </w:rPr>
        <w:t>group x predictiveness</w:t>
      </w:r>
      <w:r>
        <w:t xml:space="preserve"> interaction, with anecdotal Bayesian evidence, </w:t>
      </w:r>
      <w:r>
        <w:rPr>
          <w:i/>
          <w:iCs/>
        </w:rPr>
        <w:t>F</w:t>
      </w:r>
      <w:r>
        <w:t xml:space="preserve">(1, 73) = 4.65, </w:t>
      </w:r>
      <w:r>
        <w:rPr>
          <w:i/>
          <w:iCs/>
        </w:rPr>
        <w:t>p</w:t>
      </w:r>
      <w:r>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1.69 ± 7.69%. However, the </w:t>
      </w:r>
      <w:r>
        <w:rPr>
          <w:i/>
          <w:iCs/>
        </w:rPr>
        <w:t>group</w:t>
      </w:r>
      <w:r>
        <w:t xml:space="preserve"> effect was not significant and the evidence for the null hypothesis was moderate, </w:t>
      </w:r>
      <w:r>
        <w:rPr>
          <w:i/>
          <w:iCs/>
        </w:rPr>
        <w:t>F</w:t>
      </w:r>
      <w:r>
        <w:t xml:space="preserve">(1, 73) = 0.14, </w:t>
      </w:r>
      <w:r>
        <w:rPr>
          <w:i/>
          <w:iCs/>
        </w:rPr>
        <w:t>p</w:t>
      </w:r>
      <w:r>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0.28 ± 2.45%. Bonferroni-corrected pairwise comparisons showed that there was a significant difference between predictive and non-predictive cues in the Certain group, </w:t>
      </w:r>
      <w:r>
        <w:rPr>
          <w:i/>
          <w:iCs/>
        </w:rPr>
        <w:t>t</w:t>
      </w:r>
      <w:r>
        <w:t xml:space="preserve">(73) = 3.45, </w:t>
      </w:r>
      <w:r>
        <w:rPr>
          <w:i/>
          <w:iCs/>
        </w:rPr>
        <w:t>p</w:t>
      </w:r>
      <w:r>
        <w:t xml:space="preserve"> = .001, BF</w:t>
      </w:r>
      <w:r>
        <w:rPr>
          <w:vertAlign w:val="subscript"/>
        </w:rPr>
        <w:t>10</w:t>
      </w:r>
      <w:r>
        <w:t xml:space="preserve"> = 23511.96 ± 0%, but not in the Uncertain group, </w:t>
      </w:r>
      <w:r>
        <w:rPr>
          <w:i/>
          <w:iCs/>
        </w:rPr>
        <w:t>t</w:t>
      </w:r>
      <w:r>
        <w:t xml:space="preserve">(73) = </w:t>
      </w:r>
      <w:r>
        <w:lastRenderedPageBreak/>
        <w:t xml:space="preserve">0.28, </w:t>
      </w:r>
      <w:r>
        <w:rPr>
          <w:i/>
          <w:iCs/>
        </w:rPr>
        <w:t>p</w:t>
      </w:r>
      <w:r>
        <w:t xml:space="preserve"> = .781, BF</w:t>
      </w:r>
      <w:r>
        <w:rPr>
          <w:vertAlign w:val="subscript"/>
        </w:rPr>
        <w:t>10</w:t>
      </w:r>
      <w:r>
        <w:t xml:space="preserve"> = 0.07 ± 0.32%. This indicated that the training with certain contingency produces a difference in memory for the cues depending on their predictiveness, but that difference does not emerge during uncertain training.</w:t>
      </w:r>
    </w:p>
    <w:p w14:paraId="6269D50C" w14:textId="77777777" w:rsidR="00C908CA" w:rsidRDefault="00000000">
      <w:pPr>
        <w:pStyle w:val="Heading2"/>
      </w:pPr>
      <w:bookmarkStart w:id="31" w:name="discussion-1"/>
      <w:bookmarkEnd w:id="28"/>
      <w:r>
        <w:t>Discussion</w:t>
      </w:r>
    </w:p>
    <w:p w14:paraId="111F05EE" w14:textId="77777777" w:rsidR="00C908CA" w:rsidRDefault="00000000">
      <w:pPr>
        <w:pStyle w:val="FirstParagraph"/>
      </w:pPr>
      <w:r>
        <w:t>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al., 2015; Easdale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6E332365" w14:textId="77777777" w:rsidR="00C908CA" w:rsidRDefault="00000000">
      <w:pPr>
        <w:pStyle w:val="BodyText"/>
      </w:pPr>
      <w:r>
        <w:t xml:space="preserve">A central distinction made in Easdale et al. (2019) was that between </w:t>
      </w:r>
      <w:r>
        <w:rPr>
          <w:i/>
          <w:iCs/>
        </w:rPr>
        <w:t>expected-</w:t>
      </w:r>
      <w:r>
        <w:t xml:space="preserve"> and </w:t>
      </w:r>
      <w:r>
        <w:rPr>
          <w:i/>
          <w:iCs/>
        </w:rPr>
        <w:t>unexpected-uncertainty</w:t>
      </w:r>
      <w:r>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lastRenderedPageBreak/>
        <w:t>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p w14:paraId="3AE1D2C7" w14:textId="77777777" w:rsidR="00C908CA" w:rsidRDefault="00000000">
      <w:pPr>
        <w:pStyle w:val="Heading1"/>
      </w:pPr>
      <w:bookmarkStart w:id="32" w:name="experiment-3"/>
      <w:bookmarkEnd w:id="21"/>
      <w:bookmarkEnd w:id="31"/>
      <w:r>
        <w:t>Experiment 3</w:t>
      </w:r>
    </w:p>
    <w:p w14:paraId="045FE427" w14:textId="77777777" w:rsidR="00C908CA" w:rsidRDefault="00000000">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Pr>
            <w:rStyle w:val="Hyperlink"/>
          </w:rPr>
          <w:t>Table 3</w:t>
        </w:r>
      </w:hyperlink>
      <w:r>
        <w:t>. The experiment consisted of three groups. Groups Certain Long and Certain Short received training that was similar to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6DC0670F" w14:textId="77777777" w:rsidR="00C908CA" w:rsidRDefault="00000000">
      <w:pPr>
        <w:pStyle w:val="FigureTitle"/>
      </w:pPr>
      <w:bookmarkStart w:id="33" w:name="tbl-exp3"/>
      <w:r>
        <w:lastRenderedPageBreak/>
        <w:t>Table 3</w:t>
      </w:r>
    </w:p>
    <w:p w14:paraId="093EA1D0" w14:textId="77777777" w:rsidR="00C908CA" w:rsidRDefault="00000000">
      <w:pPr>
        <w:pStyle w:val="Caption"/>
      </w:pPr>
      <w:r>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C908CA" w14:paraId="7DB2960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584" w:type="dxa"/>
          </w:tcPr>
          <w:p w14:paraId="42D269AD" w14:textId="77777777" w:rsidR="00C908CA" w:rsidRDefault="00000000">
            <w:pPr>
              <w:pStyle w:val="Compact"/>
            </w:pPr>
            <w:r>
              <w:t>Group</w:t>
            </w:r>
          </w:p>
        </w:tc>
        <w:tc>
          <w:tcPr>
            <w:tcW w:w="1485" w:type="dxa"/>
          </w:tcPr>
          <w:p w14:paraId="1D2CE5C5" w14:textId="77777777" w:rsidR="00C908CA" w:rsidRDefault="00000000">
            <w:pPr>
              <w:pStyle w:val="Compact"/>
            </w:pPr>
            <w:r>
              <w:t>Stage 1</w:t>
            </w:r>
          </w:p>
        </w:tc>
        <w:tc>
          <w:tcPr>
            <w:tcW w:w="2772" w:type="dxa"/>
          </w:tcPr>
          <w:p w14:paraId="5E777AD3" w14:textId="77777777" w:rsidR="00C908CA" w:rsidRDefault="00000000">
            <w:pPr>
              <w:pStyle w:val="Compact"/>
              <w:jc w:val="center"/>
            </w:pPr>
            <w:r>
              <w:t>Stage 2</w:t>
            </w:r>
          </w:p>
        </w:tc>
        <w:tc>
          <w:tcPr>
            <w:tcW w:w="1881" w:type="dxa"/>
          </w:tcPr>
          <w:p w14:paraId="28AFDCB3" w14:textId="77777777" w:rsidR="00C908CA" w:rsidRDefault="00000000">
            <w:pPr>
              <w:pStyle w:val="Compact"/>
              <w:jc w:val="center"/>
            </w:pPr>
            <w:r>
              <w:t>Test</w:t>
            </w:r>
          </w:p>
        </w:tc>
      </w:tr>
      <w:tr w:rsidR="00C908CA" w:rsidRPr="00D56862" w14:paraId="38C71122" w14:textId="77777777">
        <w:tc>
          <w:tcPr>
            <w:tcW w:w="1584" w:type="dxa"/>
          </w:tcPr>
          <w:p w14:paraId="4732133C" w14:textId="77777777" w:rsidR="00C908CA" w:rsidRDefault="00000000">
            <w:pPr>
              <w:pStyle w:val="Compact"/>
            </w:pPr>
            <w:r>
              <w:t>Certain Long</w:t>
            </w:r>
          </w:p>
        </w:tc>
        <w:tc>
          <w:tcPr>
            <w:tcW w:w="1485" w:type="dxa"/>
          </w:tcPr>
          <w:p w14:paraId="6718C155" w14:textId="77777777" w:rsidR="00C908CA" w:rsidRPr="00D56862" w:rsidRDefault="00000000">
            <w:pPr>
              <w:pStyle w:val="FigureWithNote"/>
              <w:rPr>
                <w:lang w:val="es-ES"/>
              </w:rPr>
            </w:pPr>
            <w:r w:rsidRPr="00D56862">
              <w:rPr>
                <w:lang w:val="es-ES"/>
              </w:rPr>
              <w:t>AX - O1</w:t>
            </w:r>
          </w:p>
          <w:p w14:paraId="3BBDC03B" w14:textId="77777777" w:rsidR="00C908CA" w:rsidRPr="00D56862" w:rsidRDefault="00000000">
            <w:pPr>
              <w:pStyle w:val="FigureWithNote"/>
              <w:rPr>
                <w:lang w:val="es-ES"/>
              </w:rPr>
            </w:pPr>
            <w:r w:rsidRPr="00D56862">
              <w:rPr>
                <w:lang w:val="es-ES"/>
              </w:rPr>
              <w:t>AY - O1</w:t>
            </w:r>
          </w:p>
          <w:p w14:paraId="798475EA" w14:textId="77777777" w:rsidR="00C908CA" w:rsidRPr="00D56862" w:rsidRDefault="00000000">
            <w:pPr>
              <w:pStyle w:val="FigureWithNote"/>
              <w:rPr>
                <w:lang w:val="es-ES"/>
              </w:rPr>
            </w:pPr>
            <w:r w:rsidRPr="00D56862">
              <w:rPr>
                <w:lang w:val="es-ES"/>
              </w:rPr>
              <w:t>BX - O2</w:t>
            </w:r>
          </w:p>
          <w:p w14:paraId="69AC9415" w14:textId="77777777" w:rsidR="00C908CA" w:rsidRPr="00D56862" w:rsidRDefault="00000000">
            <w:pPr>
              <w:pStyle w:val="FigureWithNote"/>
              <w:rPr>
                <w:lang w:val="es-ES"/>
              </w:rPr>
            </w:pPr>
            <w:r w:rsidRPr="00D56862">
              <w:rPr>
                <w:lang w:val="es-ES"/>
              </w:rPr>
              <w:t>BY - O2</w:t>
            </w:r>
          </w:p>
        </w:tc>
        <w:tc>
          <w:tcPr>
            <w:tcW w:w="2772" w:type="dxa"/>
          </w:tcPr>
          <w:p w14:paraId="1CB9D00F" w14:textId="77777777" w:rsidR="00C908CA" w:rsidRPr="00D56862" w:rsidRDefault="00000000">
            <w:pPr>
              <w:pStyle w:val="FigureWithNote"/>
              <w:jc w:val="center"/>
              <w:rPr>
                <w:lang w:val="es-ES"/>
              </w:rPr>
            </w:pPr>
            <w:r w:rsidRPr="00D56862">
              <w:rPr>
                <w:lang w:val="es-ES"/>
              </w:rPr>
              <w:t>AX - O1</w:t>
            </w:r>
          </w:p>
          <w:p w14:paraId="1F6F8E8B" w14:textId="77777777" w:rsidR="00C908CA" w:rsidRPr="00D56862" w:rsidRDefault="00000000">
            <w:pPr>
              <w:pStyle w:val="FigureWithNote"/>
              <w:jc w:val="center"/>
              <w:rPr>
                <w:lang w:val="es-ES"/>
              </w:rPr>
            </w:pPr>
            <w:r w:rsidRPr="00D56862">
              <w:rPr>
                <w:lang w:val="es-ES"/>
              </w:rPr>
              <w:t>AY - O1</w:t>
            </w:r>
          </w:p>
          <w:p w14:paraId="15BC1BBA" w14:textId="77777777" w:rsidR="00C908CA" w:rsidRPr="00D56862" w:rsidRDefault="00000000">
            <w:pPr>
              <w:pStyle w:val="FigureWithNote"/>
              <w:jc w:val="center"/>
              <w:rPr>
                <w:lang w:val="es-ES"/>
              </w:rPr>
            </w:pPr>
            <w:r w:rsidRPr="00D56862">
              <w:rPr>
                <w:lang w:val="es-ES"/>
              </w:rPr>
              <w:t>BX - O2</w:t>
            </w:r>
          </w:p>
          <w:p w14:paraId="6C806F02" w14:textId="77777777" w:rsidR="00C908CA" w:rsidRPr="00D56862" w:rsidRDefault="00000000">
            <w:pPr>
              <w:pStyle w:val="FigureWithNote"/>
              <w:jc w:val="center"/>
              <w:rPr>
                <w:lang w:val="es-ES"/>
              </w:rPr>
            </w:pPr>
            <w:r w:rsidRPr="00D56862">
              <w:rPr>
                <w:lang w:val="es-ES"/>
              </w:rPr>
              <w:t>BY - O2</w:t>
            </w:r>
          </w:p>
        </w:tc>
        <w:tc>
          <w:tcPr>
            <w:tcW w:w="1881" w:type="dxa"/>
          </w:tcPr>
          <w:p w14:paraId="162F81A9"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378DF375"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BC198C8"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2D0F2339"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D56862" w14:paraId="0CA16B5C" w14:textId="77777777">
        <w:tc>
          <w:tcPr>
            <w:tcW w:w="1584" w:type="dxa"/>
          </w:tcPr>
          <w:p w14:paraId="47E90D82" w14:textId="77777777" w:rsidR="00C908CA" w:rsidRDefault="00000000">
            <w:pPr>
              <w:pStyle w:val="Compact"/>
            </w:pPr>
            <w:r>
              <w:t>Certain Short</w:t>
            </w:r>
          </w:p>
        </w:tc>
        <w:tc>
          <w:tcPr>
            <w:tcW w:w="1485" w:type="dxa"/>
          </w:tcPr>
          <w:p w14:paraId="52B80AFE" w14:textId="77777777" w:rsidR="00C908CA" w:rsidRPr="00D56862" w:rsidRDefault="00000000">
            <w:pPr>
              <w:pStyle w:val="FigureWithNote"/>
              <w:rPr>
                <w:lang w:val="es-ES"/>
              </w:rPr>
            </w:pPr>
            <w:r w:rsidRPr="00D56862">
              <w:rPr>
                <w:lang w:val="es-ES"/>
              </w:rPr>
              <w:t>AX - O1</w:t>
            </w:r>
          </w:p>
          <w:p w14:paraId="798A9926" w14:textId="77777777" w:rsidR="00C908CA" w:rsidRPr="00D56862" w:rsidRDefault="00000000">
            <w:pPr>
              <w:pStyle w:val="FigureWithNote"/>
              <w:rPr>
                <w:lang w:val="es-ES"/>
              </w:rPr>
            </w:pPr>
            <w:r w:rsidRPr="00D56862">
              <w:rPr>
                <w:lang w:val="es-ES"/>
              </w:rPr>
              <w:t>AY - O1</w:t>
            </w:r>
          </w:p>
          <w:p w14:paraId="55222FB4" w14:textId="77777777" w:rsidR="00C908CA" w:rsidRPr="00D56862" w:rsidRDefault="00000000">
            <w:pPr>
              <w:pStyle w:val="FigureWithNote"/>
              <w:rPr>
                <w:lang w:val="es-ES"/>
              </w:rPr>
            </w:pPr>
            <w:r w:rsidRPr="00D56862">
              <w:rPr>
                <w:lang w:val="es-ES"/>
              </w:rPr>
              <w:t>BX - O2</w:t>
            </w:r>
          </w:p>
          <w:p w14:paraId="1B8CF19F" w14:textId="77777777" w:rsidR="00C908CA" w:rsidRPr="00D56862" w:rsidRDefault="00000000">
            <w:pPr>
              <w:pStyle w:val="FigureWithNote"/>
              <w:rPr>
                <w:lang w:val="es-ES"/>
              </w:rPr>
            </w:pPr>
            <w:r w:rsidRPr="00D56862">
              <w:rPr>
                <w:lang w:val="es-ES"/>
              </w:rPr>
              <w:t>BY - O2</w:t>
            </w:r>
          </w:p>
        </w:tc>
        <w:tc>
          <w:tcPr>
            <w:tcW w:w="2772" w:type="dxa"/>
          </w:tcPr>
          <w:p w14:paraId="091E2374" w14:textId="77777777" w:rsidR="00C908CA" w:rsidRPr="00D56862" w:rsidRDefault="00C908CA">
            <w:pPr>
              <w:pStyle w:val="Compact"/>
              <w:rPr>
                <w:lang w:val="es-ES"/>
              </w:rPr>
            </w:pPr>
          </w:p>
        </w:tc>
        <w:tc>
          <w:tcPr>
            <w:tcW w:w="1881" w:type="dxa"/>
          </w:tcPr>
          <w:p w14:paraId="6442BF94"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FBC7192"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2B5DE1F4"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4BB2277B"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D56862" w14:paraId="2076CB49" w14:textId="77777777">
        <w:tc>
          <w:tcPr>
            <w:tcW w:w="1584" w:type="dxa"/>
          </w:tcPr>
          <w:p w14:paraId="27A05B73" w14:textId="77777777" w:rsidR="00C908CA" w:rsidRDefault="00000000">
            <w:pPr>
              <w:pStyle w:val="Compact"/>
            </w:pPr>
            <w:r>
              <w:t>Uncertain</w:t>
            </w:r>
          </w:p>
        </w:tc>
        <w:tc>
          <w:tcPr>
            <w:tcW w:w="1485" w:type="dxa"/>
          </w:tcPr>
          <w:p w14:paraId="4DE11901" w14:textId="77777777" w:rsidR="00C908CA" w:rsidRPr="00D56862" w:rsidRDefault="00000000">
            <w:pPr>
              <w:pStyle w:val="FigureWithNote"/>
              <w:rPr>
                <w:lang w:val="es-ES"/>
              </w:rPr>
            </w:pPr>
            <w:r w:rsidRPr="00D56862">
              <w:rPr>
                <w:lang w:val="es-ES"/>
              </w:rPr>
              <w:t>AX - O1</w:t>
            </w:r>
          </w:p>
          <w:p w14:paraId="4F89071D" w14:textId="77777777" w:rsidR="00C908CA" w:rsidRPr="00D56862" w:rsidRDefault="00000000">
            <w:pPr>
              <w:pStyle w:val="FigureWithNote"/>
              <w:rPr>
                <w:lang w:val="es-ES"/>
              </w:rPr>
            </w:pPr>
            <w:r w:rsidRPr="00D56862">
              <w:rPr>
                <w:lang w:val="es-ES"/>
              </w:rPr>
              <w:t>AY - O1</w:t>
            </w:r>
          </w:p>
          <w:p w14:paraId="56E2D5E0" w14:textId="77777777" w:rsidR="00C908CA" w:rsidRPr="00D56862" w:rsidRDefault="00000000">
            <w:pPr>
              <w:pStyle w:val="FigureWithNote"/>
              <w:rPr>
                <w:lang w:val="es-ES"/>
              </w:rPr>
            </w:pPr>
            <w:r w:rsidRPr="00D56862">
              <w:rPr>
                <w:lang w:val="es-ES"/>
              </w:rPr>
              <w:t>BX - O2</w:t>
            </w:r>
          </w:p>
          <w:p w14:paraId="5733D342" w14:textId="77777777" w:rsidR="00C908CA" w:rsidRPr="00D56862" w:rsidRDefault="00000000">
            <w:pPr>
              <w:pStyle w:val="FigureWithNote"/>
              <w:rPr>
                <w:lang w:val="es-ES"/>
              </w:rPr>
            </w:pPr>
            <w:r w:rsidRPr="00D56862">
              <w:rPr>
                <w:lang w:val="es-ES"/>
              </w:rPr>
              <w:t>BY - O2</w:t>
            </w:r>
          </w:p>
        </w:tc>
        <w:tc>
          <w:tcPr>
            <w:tcW w:w="2772" w:type="dxa"/>
          </w:tcPr>
          <w:p w14:paraId="7A3C5F7E" w14:textId="77777777" w:rsidR="00C908CA" w:rsidRPr="00D56862" w:rsidRDefault="00000000">
            <w:pPr>
              <w:pStyle w:val="FigureWithNote"/>
              <w:jc w:val="center"/>
              <w:rPr>
                <w:lang w:val="es-ES"/>
              </w:rPr>
            </w:pPr>
            <w:r w:rsidRPr="00D56862">
              <w:rPr>
                <w:lang w:val="es-ES"/>
              </w:rPr>
              <w:t>0.8 AX - O1 / 0.2 AX - O2</w:t>
            </w:r>
          </w:p>
          <w:p w14:paraId="792860C7" w14:textId="77777777" w:rsidR="00C908CA" w:rsidRPr="00D56862" w:rsidRDefault="00000000">
            <w:pPr>
              <w:pStyle w:val="FigureWithNote"/>
              <w:jc w:val="center"/>
              <w:rPr>
                <w:lang w:val="es-ES"/>
              </w:rPr>
            </w:pPr>
            <w:r w:rsidRPr="00D56862">
              <w:rPr>
                <w:lang w:val="es-ES"/>
              </w:rPr>
              <w:t>0.8 AY - O1 / 0.2 AY - O2</w:t>
            </w:r>
          </w:p>
          <w:p w14:paraId="1D15A3D0" w14:textId="77777777" w:rsidR="00C908CA" w:rsidRDefault="00000000">
            <w:pPr>
              <w:pStyle w:val="FigureWithNote"/>
              <w:jc w:val="center"/>
            </w:pPr>
            <w:r>
              <w:t>0.8 BX - O2 / 0.2 BX - O1</w:t>
            </w:r>
          </w:p>
          <w:p w14:paraId="623A1D3B" w14:textId="77777777" w:rsidR="00C908CA" w:rsidRDefault="00000000">
            <w:pPr>
              <w:pStyle w:val="FigureWithNote"/>
              <w:jc w:val="center"/>
            </w:pPr>
            <w:r>
              <w:t>0.8 BY - O2 / 0.2 BY - O1</w:t>
            </w:r>
          </w:p>
        </w:tc>
        <w:tc>
          <w:tcPr>
            <w:tcW w:w="1881" w:type="dxa"/>
          </w:tcPr>
          <w:p w14:paraId="6A8042E3"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5592F23A"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01638D44"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32F1649"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33"/>
    <w:p w14:paraId="08616985" w14:textId="77777777" w:rsidR="00C908CA" w:rsidRDefault="00000000">
      <w:pPr>
        <w:pStyle w:val="FigureNote"/>
      </w:pPr>
      <w:r>
        <w:rPr>
          <w:i/>
          <w:iCs/>
        </w:rPr>
        <w:t>Note</w:t>
      </w:r>
      <w:r>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1C19B70F" w14:textId="77777777" w:rsidR="00C908CA" w:rsidRDefault="00000000">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Pr>
          <w:i/>
          <w:iCs/>
        </w:rPr>
        <w:t>decrease</w:t>
      </w:r>
      <w:r>
        <w:t xml:space="preserve"> cue processing, which would be an alternative explanation of any difference in cue processing we observe between Group Uncertain and Group Certain Long. If this is the case, we </w:t>
      </w:r>
      <w:r>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21908694" w14:textId="77777777" w:rsidR="00C908CA" w:rsidRDefault="00000000">
      <w:pPr>
        <w:pStyle w:val="Heading2"/>
      </w:pPr>
      <w:bookmarkStart w:id="34" w:name="methods-2"/>
      <w:r>
        <w:t>Methods</w:t>
      </w:r>
    </w:p>
    <w:p w14:paraId="4087A439" w14:textId="77777777" w:rsidR="00C908CA" w:rsidRDefault="00000000">
      <w:pPr>
        <w:pStyle w:val="Heading3"/>
      </w:pPr>
      <w:bookmarkStart w:id="35" w:name="participants-2"/>
      <w:r>
        <w:t>Participants</w:t>
      </w:r>
    </w:p>
    <w:p w14:paraId="2EB3EAFC" w14:textId="77777777" w:rsidR="00C908CA" w:rsidRDefault="00000000">
      <w:pPr>
        <w:pStyle w:val="FirstParagraph"/>
      </w:pPr>
      <w:r>
        <w:t>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3"/>
      </w:r>
      <w:r>
        <w:t xml:space="preserve">. We continued to recruit participants after applying our exclusion criteria, to ensure that there were 30 participants in each group. Thus, the results below are for the remaining 90 participants. Post-hoc calculations using G*Power 3.1 (Faul et al., 2007) revealed that this </w:t>
      </w:r>
      <w:r>
        <w:lastRenderedPageBreak/>
        <w:t>sample size had a power of .87 to detect an effect size of η</w:t>
      </w:r>
      <w:r>
        <w:rPr>
          <w:vertAlign w:val="subscript"/>
        </w:rPr>
        <w:t>p</w:t>
      </w:r>
      <w:r>
        <w:rPr>
          <w:vertAlign w:val="superscript"/>
        </w:rPr>
        <w:t>2</w:t>
      </w:r>
      <w:r>
        <w:t xml:space="preserve"> = .09 that was observed for the group main effect reported in </w:t>
      </w:r>
      <w:hyperlink w:anchor="fig-testExp3">
        <w:r>
          <w:rPr>
            <w:rStyle w:val="Hyperlink"/>
          </w:rPr>
          <w:t>Figure 10</w:t>
        </w:r>
      </w:hyperlink>
      <w:r>
        <w:t>.</w:t>
      </w:r>
    </w:p>
    <w:p w14:paraId="474A9BF0" w14:textId="77777777" w:rsidR="00C908CA" w:rsidRDefault="00000000">
      <w:pPr>
        <w:pStyle w:val="Heading3"/>
      </w:pPr>
      <w:bookmarkStart w:id="36" w:name="apparatus-and-stimuli-2"/>
      <w:bookmarkEnd w:id="35"/>
      <w:r>
        <w:t>Apparatus and stimuli</w:t>
      </w:r>
    </w:p>
    <w:p w14:paraId="144D3097" w14:textId="77777777" w:rsidR="00C908CA" w:rsidRDefault="00000000">
      <w:pPr>
        <w:pStyle w:val="FirstParagraph"/>
      </w:pPr>
      <w:r>
        <w:t>The materials were the same as in Experiments 1 and 2.</w:t>
      </w:r>
    </w:p>
    <w:p w14:paraId="704DC1A2" w14:textId="77777777" w:rsidR="00C908CA" w:rsidRDefault="00000000">
      <w:pPr>
        <w:pStyle w:val="Heading3"/>
      </w:pPr>
      <w:bookmarkStart w:id="37" w:name="design-2"/>
      <w:bookmarkEnd w:id="36"/>
      <w:r>
        <w:t>Design</w:t>
      </w:r>
    </w:p>
    <w:p w14:paraId="720A4734" w14:textId="77777777" w:rsidR="00C908CA" w:rsidRDefault="00000000">
      <w:pPr>
        <w:pStyle w:val="FirstParagraph"/>
      </w:pPr>
      <w:r>
        <w:t xml:space="preserve">The experiment used a mixed design (as seen in </w:t>
      </w:r>
      <w:hyperlink w:anchor="tbl-exp3">
        <w:r>
          <w:rPr>
            <w:rStyle w:val="Hyperlink"/>
          </w:rPr>
          <w:t>Table 3</w:t>
        </w:r>
      </w:hyperlink>
      <w:r>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p w14:paraId="0F5A90B4" w14:textId="77777777" w:rsidR="00C908CA" w:rsidRDefault="00000000">
      <w:pPr>
        <w:pStyle w:val="Heading3"/>
      </w:pPr>
      <w:bookmarkStart w:id="38" w:name="procedure-2"/>
      <w:bookmarkEnd w:id="37"/>
      <w:r>
        <w:t>Procedure</w:t>
      </w:r>
    </w:p>
    <w:p w14:paraId="206DF1C7" w14:textId="77777777" w:rsidR="00C908CA" w:rsidRDefault="00000000">
      <w:pPr>
        <w:pStyle w:val="FirstParagraph"/>
      </w:pPr>
      <w:r>
        <w:t>All the details about the procedure were identical to Experiment 2.</w:t>
      </w:r>
    </w:p>
    <w:p w14:paraId="34E13576" w14:textId="77777777" w:rsidR="00C908CA" w:rsidRDefault="00000000">
      <w:pPr>
        <w:pStyle w:val="Heading2"/>
      </w:pPr>
      <w:bookmarkStart w:id="39" w:name="results-2"/>
      <w:bookmarkEnd w:id="34"/>
      <w:bookmarkEnd w:id="38"/>
      <w:r>
        <w:t>Results</w:t>
      </w:r>
    </w:p>
    <w:p w14:paraId="3ECCC55C" w14:textId="77777777" w:rsidR="00C908CA" w:rsidRDefault="00000000">
      <w:pPr>
        <w:pStyle w:val="FirstParagraph"/>
      </w:pPr>
      <w:hyperlink w:anchor="fig-trainingExp3">
        <w:r>
          <w:rPr>
            <w:rStyle w:val="Hyperlink"/>
          </w:rPr>
          <w:t>Figure 9</w:t>
        </w:r>
      </w:hyperlink>
      <w:r>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0AA76861" w14:textId="77777777" w:rsidR="00C908CA" w:rsidRDefault="00000000">
      <w:pPr>
        <w:pStyle w:val="FigureTitle"/>
      </w:pPr>
      <w:bookmarkStart w:id="40" w:name="fig-trainingExp3"/>
      <w:r>
        <w:lastRenderedPageBreak/>
        <w:t>Figure 9</w:t>
      </w:r>
    </w:p>
    <w:p w14:paraId="535C0311" w14:textId="77777777" w:rsidR="00C908CA" w:rsidRDefault="00000000">
      <w:pPr>
        <w:pStyle w:val="Caption"/>
      </w:pPr>
      <w:r>
        <w:t>PPR on the training phase of Experiment 3.</w:t>
      </w:r>
    </w:p>
    <w:p w14:paraId="0BEE7500" w14:textId="77777777" w:rsidR="00C908CA" w:rsidRDefault="00000000">
      <w:pPr>
        <w:pStyle w:val="FigureWithNote"/>
      </w:pPr>
      <w:r>
        <w:rPr>
          <w:noProof/>
        </w:rPr>
        <w:drawing>
          <wp:inline distT="0" distB="0" distL="0" distR="0" wp14:anchorId="698A6803" wp14:editId="7DC52051">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560B41F6" w14:textId="77777777" w:rsidR="00C908CA" w:rsidRDefault="00000000">
      <w:pPr>
        <w:pStyle w:val="FigureNote"/>
      </w:pPr>
      <w:r>
        <w:rPr>
          <w:i/>
          <w:iCs/>
        </w:rPr>
        <w:t>Note</w:t>
      </w:r>
      <w:r>
        <w:t>. Mean proportion of probable responses (±SEM) during the training phase of Experiment 3, plotted against the ten blocks of trials, for each Group.</w:t>
      </w:r>
    </w:p>
    <w:p w14:paraId="08EE66B8" w14:textId="77777777" w:rsidR="00C908CA" w:rsidRDefault="00000000">
      <w:pPr>
        <w:pStyle w:val="BodyText"/>
      </w:pPr>
      <w:r>
        <w:t xml:space="preserve">The Stage 1 data were analysed with a mixed-model ANOVA (with the degrees of freedom corrected by Greenhouse-Geisser when the sphericity assumption was not fulfilled), with the between-subjects factor of </w:t>
      </w:r>
      <w:r>
        <w:rPr>
          <w:i/>
          <w:iCs/>
        </w:rPr>
        <w:t>group</w:t>
      </w:r>
      <w:r>
        <w:t xml:space="preserve"> (Certain Long, Certain Short, and Uncertain), and the within-subjects factor of </w:t>
      </w:r>
      <w:r>
        <w:rPr>
          <w:i/>
          <w:iCs/>
        </w:rPr>
        <w:t>block</w:t>
      </w:r>
      <w:r>
        <w:t xml:space="preserve"> (1-6). This revealed a significant effect of block, with extreme Bayesian evidence for the alternative hypothesis, </w:t>
      </w:r>
      <w:r>
        <w:rPr>
          <w:i/>
          <w:iCs/>
        </w:rPr>
        <w:t>F</w:t>
      </w:r>
      <w:r>
        <w:t xml:space="preserve">(3.39, 295.17) = 72.50,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.45, BF</w:t>
      </w:r>
      <w:r>
        <w:rPr>
          <w:vertAlign w:val="subscript"/>
        </w:rPr>
        <w:t>10</w:t>
      </w:r>
      <w:r>
        <w:t xml:space="preserve"> = 2.1x10</w:t>
      </w:r>
      <w:r>
        <w:rPr>
          <w:vertAlign w:val="superscript"/>
        </w:rPr>
        <w:t>52</w:t>
      </w:r>
      <w:r>
        <w:t xml:space="preserve"> ± 1.54%. There was no effect of </w:t>
      </w:r>
      <w:r>
        <w:rPr>
          <w:i/>
          <w:iCs/>
        </w:rPr>
        <w:t>group</w:t>
      </w:r>
      <w:r>
        <w:t xml:space="preserve">, with strong evidence for the null hypothesis, </w:t>
      </w:r>
      <w:r>
        <w:rPr>
          <w:i/>
          <w:iCs/>
        </w:rPr>
        <w:t>F</w:t>
      </w:r>
      <w:r>
        <w:t xml:space="preserve">(2, 87) = 0.03, </w:t>
      </w:r>
      <w:r>
        <w:rPr>
          <w:i/>
          <w:iCs/>
        </w:rPr>
        <w:t>p</w:t>
      </w:r>
      <w:r>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 ± 3.23%, and no interaction effect, </w:t>
      </w:r>
      <w:r>
        <w:lastRenderedPageBreak/>
        <w:t xml:space="preserve">with extreme evidence for the null hypothesis, </w:t>
      </w:r>
      <w:r>
        <w:rPr>
          <w:i/>
          <w:iCs/>
        </w:rPr>
        <w:t>F</w:t>
      </w:r>
      <w:r>
        <w:t xml:space="preserve">(6.79, 295.17) = 0.58, </w:t>
      </w:r>
      <w:r>
        <w:rPr>
          <w:i/>
          <w:iCs/>
        </w:rPr>
        <w:t>p</w:t>
      </w:r>
      <w:r>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 ± 53.69%.</w:t>
      </w:r>
    </w:p>
    <w:p w14:paraId="3CE746FC" w14:textId="77777777" w:rsidR="00C908CA" w:rsidRDefault="00000000">
      <w:pPr>
        <w:pStyle w:val="BodyText"/>
      </w:pPr>
      <w:r>
        <w:t xml:space="preserve">The data from Stage 1 and 2 were analysed with a mixed model ANOVA (using the Greenhouse-Geisser correction when needed), with the between-subjects factor of </w:t>
      </w:r>
      <w:r>
        <w:rPr>
          <w:i/>
          <w:iCs/>
        </w:rPr>
        <w:t>group</w:t>
      </w:r>
      <w:r>
        <w:t xml:space="preserve"> (Certain Long vs Uncertain) and the within-subjects factor of </w:t>
      </w:r>
      <w:r>
        <w:rPr>
          <w:i/>
          <w:iCs/>
        </w:rPr>
        <w:t>block</w:t>
      </w:r>
      <w:r>
        <w:t xml:space="preserve"> (1-10). There was no effect of </w:t>
      </w:r>
      <w:r>
        <w:rPr>
          <w:i/>
          <w:iCs/>
        </w:rPr>
        <w:t>group</w:t>
      </w:r>
      <w:r>
        <w:t xml:space="preserve">, with anecdotal Bayesian evidence for the null hypothesis, </w:t>
      </w:r>
      <w:r>
        <w:rPr>
          <w:i/>
          <w:iCs/>
        </w:rPr>
        <w:t>F</w:t>
      </w:r>
      <w:r>
        <w:t xml:space="preserve">(1, 58) = 1.78, </w:t>
      </w:r>
      <w:r>
        <w:rPr>
          <w:i/>
          <w:iCs/>
        </w:rPr>
        <w:t>p</w:t>
      </w:r>
      <w:r>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0.49 ± 4.39%, but there was a significant effect of </w:t>
      </w:r>
      <w:r>
        <w:rPr>
          <w:i/>
          <w:iCs/>
        </w:rPr>
        <w:t>block</w:t>
      </w:r>
      <w:r>
        <w:t xml:space="preserve"> with extreme Bayesian evidence for the alternative hypothesis,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1.9x10</w:t>
      </w:r>
      <w:r>
        <w:rPr>
          <w:vertAlign w:val="superscript"/>
        </w:rPr>
        <w:t>35</w:t>
      </w:r>
      <w:r>
        <w:t xml:space="preserve"> ± 0.98%, and a significant group by block interaction, with extreme Bayesian evidence for the alternative hypothesis, </w:t>
      </w:r>
      <w:r>
        <w:rPr>
          <w:i/>
          <w:iCs/>
        </w:rPr>
        <w:t>F</w:t>
      </w:r>
      <w:r>
        <w:t xml:space="preserve">(4.14, 240.26) = 4.44, </w:t>
      </w:r>
      <w:r>
        <w:rPr>
          <w:i/>
          <w:iCs/>
        </w:rPr>
        <w:t>p</w:t>
      </w:r>
      <w:r>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1187.81 ± 3.38%. Bonferroni-corrected comparisons showed that the Uncertain group had a lower PPR on the Stage 2 blocks, </w:t>
      </w:r>
      <w:r>
        <w:rPr>
          <w:i/>
          <w:iCs/>
        </w:rPr>
        <w:t>t</w:t>
      </w:r>
      <w:r>
        <w:t xml:space="preserve">(58) &gt; 3.27, </w:t>
      </w:r>
      <w:r>
        <w:rPr>
          <w:i/>
          <w:iCs/>
        </w:rPr>
        <w:t>p</w:t>
      </w:r>
      <w:r>
        <w:t xml:space="preserve"> &lt; .002, BF</w:t>
      </w:r>
      <w:r>
        <w:rPr>
          <w:vertAlign w:val="subscript"/>
        </w:rPr>
        <w:t>10</w:t>
      </w:r>
      <w:r>
        <w:t xml:space="preserve"> = 0.46 ± 0.01%, but no differences in the Stage 1 blocks, </w:t>
      </w:r>
      <w:r>
        <w:rPr>
          <w:i/>
          <w:iCs/>
        </w:rPr>
        <w:t>t</w:t>
      </w:r>
      <w:r>
        <w:t xml:space="preserve">(58) &lt; 1.15, </w:t>
      </w:r>
      <w:r>
        <w:rPr>
          <w:i/>
          <w:iCs/>
        </w:rPr>
        <w:t>p</w:t>
      </w:r>
      <w:r>
        <w:t xml:space="preserve"> &gt; .254, BF</w:t>
      </w:r>
      <w:r>
        <w:rPr>
          <w:vertAlign w:val="subscript"/>
        </w:rPr>
        <w:t>10</w:t>
      </w:r>
      <w:r>
        <w:t xml:space="preserve"> = 19.02 ± 0%.</w:t>
      </w:r>
    </w:p>
    <w:p w14:paraId="0F9AF67C" w14:textId="77777777" w:rsidR="00C908CA" w:rsidRDefault="00000000">
      <w:pPr>
        <w:pStyle w:val="BodyText"/>
      </w:pPr>
      <w:r>
        <w:t>Taken together, these results indicate that the training in Stage 1 increased the PPR for all groups in the same fashion, in Stage 1, while in Stage 2, the Certain Long group showed a consistently higher PPR than the Uncertain group.</w:t>
      </w:r>
    </w:p>
    <w:p w14:paraId="46EEAAB8" w14:textId="77777777" w:rsidR="00C908CA" w:rsidRDefault="00000000">
      <w:pPr>
        <w:pStyle w:val="BodyText"/>
      </w:pPr>
      <w:hyperlink w:anchor="fig-testExp3">
        <w:r>
          <w:rPr>
            <w:rStyle w:val="Hyperlink"/>
          </w:rPr>
          <w:t>Figure 10</w:t>
        </w:r>
      </w:hyperlink>
      <w:r>
        <w:t xml:space="preserve">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D182D1C" w14:textId="77777777" w:rsidR="00C908CA" w:rsidRDefault="00000000">
      <w:pPr>
        <w:pStyle w:val="FigureTitle"/>
      </w:pPr>
      <w:bookmarkStart w:id="41" w:name="fig-testExp3"/>
      <w:r>
        <w:lastRenderedPageBreak/>
        <w:t>Figure 10</w:t>
      </w:r>
    </w:p>
    <w:p w14:paraId="338763F7" w14:textId="77777777" w:rsidR="00C908CA" w:rsidRDefault="00000000">
      <w:pPr>
        <w:pStyle w:val="Caption"/>
      </w:pPr>
      <w:r>
        <w:t>Memory scores on the Test of Experiment 3.</w:t>
      </w:r>
    </w:p>
    <w:p w14:paraId="6C12B792" w14:textId="77777777" w:rsidR="00C908CA" w:rsidRDefault="00000000">
      <w:pPr>
        <w:pStyle w:val="FigureWithNote"/>
      </w:pPr>
      <w:r>
        <w:rPr>
          <w:noProof/>
        </w:rPr>
        <w:drawing>
          <wp:inline distT="0" distB="0" distL="0" distR="0" wp14:anchorId="0E75AC7B" wp14:editId="53669145">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251948C3" w14:textId="77777777" w:rsidR="00C908CA" w:rsidRDefault="00000000">
      <w:pPr>
        <w:pStyle w:val="FigureNote"/>
      </w:pPr>
      <w:r>
        <w:rPr>
          <w:i/>
          <w:iCs/>
        </w:rPr>
        <w:t>Note</w:t>
      </w:r>
      <w:r>
        <w:t>. Mean memory scores (±SEM) during the Test of Experiment 2 for predictive and non-predictive trials across the three groups.</w:t>
      </w:r>
    </w:p>
    <w:p w14:paraId="560929E5" w14:textId="77777777" w:rsidR="00C908CA" w:rsidRDefault="00000000">
      <w:pPr>
        <w:pStyle w:val="BodyText"/>
      </w:pPr>
      <w:r>
        <w:t xml:space="preserve">A mixed model ANOVA, including the between-subjects factor </w:t>
      </w:r>
      <w:r>
        <w:rPr>
          <w:i/>
          <w:iCs/>
        </w:rPr>
        <w:t>group</w:t>
      </w:r>
      <w:r>
        <w:t xml:space="preserve"> (Certain Long, Certain Short, Uncertain), and the within-subjects factor </w:t>
      </w:r>
      <w:r>
        <w:rPr>
          <w:i/>
          <w:iCs/>
        </w:rPr>
        <w:t>predictiveness</w:t>
      </w:r>
      <w:r>
        <w:t xml:space="preserve"> (predictive vs non-predictive) showed a significant main effect of the </w:t>
      </w:r>
      <w:r>
        <w:rPr>
          <w:i/>
          <w:iCs/>
        </w:rPr>
        <w:t>group</w:t>
      </w:r>
      <w:r>
        <w:t xml:space="preserve">, with moderate evidence for the alternative hypothesis, </w:t>
      </w:r>
      <w:r>
        <w:rPr>
          <w:i/>
          <w:iCs/>
        </w:rPr>
        <w:t>F</w:t>
      </w:r>
      <w:r>
        <w:t xml:space="preserve">(2, 87) = 4.40, </w:t>
      </w:r>
      <w:r>
        <w:rPr>
          <w:i/>
          <w:iCs/>
        </w:rPr>
        <w:t>p</w:t>
      </w:r>
      <w:r>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12.54 ± 0.01% and a main effect of </w:t>
      </w:r>
      <w:r>
        <w:rPr>
          <w:i/>
          <w:iCs/>
        </w:rPr>
        <w:t>predictiveness</w:t>
      </w:r>
      <w:r>
        <w:t xml:space="preserve">, with extreme Bayesian evidence for the alternative hypothesis,, </w:t>
      </w:r>
      <w:r>
        <w:rPr>
          <w:i/>
          <w:iCs/>
        </w:rPr>
        <w:t>F</w:t>
      </w:r>
      <w:r>
        <w:t xml:space="preserve">(1, 87) = 22.19,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.20, BF</w:t>
      </w:r>
      <w:r>
        <w:rPr>
          <w:vertAlign w:val="subscript"/>
        </w:rPr>
        <w:t>10</w:t>
      </w:r>
      <w:r>
        <w:t xml:space="preserve"> = 16.55 ± 0%. However, the </w:t>
      </w:r>
      <w:r>
        <w:rPr>
          <w:i/>
          <w:iCs/>
        </w:rPr>
        <w:t>group x predictiveness</w:t>
      </w:r>
      <w:r>
        <w:t xml:space="preserve"> interaction failed to reach significance, showing anecdotal Bayesian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Bonferroni corrected post-hoc comparisons </w:t>
      </w:r>
      <w:r>
        <w:lastRenderedPageBreak/>
        <w:t xml:space="preserve">on the factor of group showed that group Uncertain differed significantly from the average of the Certain groups, </w:t>
      </w:r>
      <w:r>
        <w:rPr>
          <w:i/>
          <w:iCs/>
        </w:rPr>
        <w:t>t</w:t>
      </w:r>
      <w:r>
        <w:t xml:space="preserve">(87) = 1.18, </w:t>
      </w:r>
      <w:r>
        <w:rPr>
          <w:i/>
          <w:iCs/>
        </w:rPr>
        <w:t>p</w:t>
      </w:r>
      <w:r>
        <w:t xml:space="preserve"> = .004, BF</w:t>
      </w:r>
      <w:r>
        <w:rPr>
          <w:vertAlign w:val="subscript"/>
        </w:rPr>
        <w:t>10</w:t>
      </w:r>
      <w:r>
        <w:t xml:space="preserve"> = 46.35 ± 0%, but memory scores for the two Certain groups did not differ the one from the other, </w:t>
      </w:r>
      <w:r>
        <w:rPr>
          <w:i/>
          <w:iCs/>
        </w:rPr>
        <w:t>t</w:t>
      </w:r>
      <w:r>
        <w:t xml:space="preserve">(87) = 0.188, </w:t>
      </w:r>
      <w:r>
        <w:rPr>
          <w:i/>
          <w:iCs/>
        </w:rPr>
        <w:t>p</w:t>
      </w:r>
      <w:r>
        <w:t xml:space="preserve"> = 1, BF</w:t>
      </w:r>
      <w:r>
        <w:rPr>
          <w:vertAlign w:val="subscript"/>
        </w:rPr>
        <w:t>10</w:t>
      </w:r>
      <w:r>
        <w:t xml:space="preserve"> = 0.22 ± 0.03%, with the Bayesian evidence suggesting that memory performance was the same in these two groups.</w:t>
      </w:r>
    </w:p>
    <w:p w14:paraId="389913DA" w14:textId="77777777" w:rsidR="00C908CA" w:rsidRDefault="00000000">
      <w:pPr>
        <w:pStyle w:val="BodyText"/>
      </w:pPr>
      <w:r>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639B6DFB" w14:textId="77777777" w:rsidR="00C908CA" w:rsidRDefault="00000000">
      <w:pPr>
        <w:pStyle w:val="Heading2"/>
      </w:pPr>
      <w:bookmarkStart w:id="42" w:name="discussion-2"/>
      <w:bookmarkEnd w:id="39"/>
      <w:r>
        <w:t>Discussion</w:t>
      </w:r>
    </w:p>
    <w:p w14:paraId="5CD72394" w14:textId="77777777" w:rsidR="00C908CA" w:rsidRDefault="00000000">
      <w:pPr>
        <w:pStyle w:val="FirstParagraph"/>
      </w:pPr>
      <w:r>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47CC619" w14:textId="77777777" w:rsidR="00C908CA" w:rsidRDefault="00000000">
      <w:pPr>
        <w:pStyle w:val="BodyText"/>
      </w:pPr>
      <w:r>
        <w:t xml:space="preserve">These results suggest that introducing a period of unexpected uncertainty results in enhanced cue processing and are consistent with previous results (Easdale et al., 2019) that showed that unexpected uncertainty enhanced learning. Easdale et al. used a training phase with </w:t>
      </w:r>
      <w:r>
        <w:lastRenderedPageBreak/>
        <w:t>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 “unexpected uncertainty” which promoted new learning. Experiment 3 shows more directly that a period of unexpected uncertainty leads to superior cue processing and stronger memory representations.</w:t>
      </w:r>
    </w:p>
    <w:p w14:paraId="01C8850D" w14:textId="77777777" w:rsidR="00C908CA" w:rsidRDefault="00000000">
      <w:pPr>
        <w:pStyle w:val="Heading1"/>
      </w:pPr>
      <w:bookmarkStart w:id="43" w:name="general-discussion"/>
      <w:bookmarkEnd w:id="32"/>
      <w:bookmarkEnd w:id="42"/>
      <w:r>
        <w:t>General discussion</w:t>
      </w:r>
    </w:p>
    <w:p w14:paraId="04A500A5" w14:textId="77777777" w:rsidR="00C908CA" w:rsidRDefault="00000000">
      <w:pPr>
        <w:pStyle w:val="FirstParagraph"/>
      </w:pPr>
      <w:r>
        <w:t>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491660E8" w14:textId="77777777" w:rsidR="00C908CA" w:rsidRDefault="00000000">
      <w:pPr>
        <w:pStyle w:val="BodyText"/>
      </w:pPr>
      <w:r>
        <w:t xml:space="preserve">In Experiment 2, the same “certain” condition was trained as in Experiment 1, in addition to an “uncertain” condition, in which there was a probabilistic relationship between the </w:t>
      </w:r>
      <w:r>
        <w:lastRenderedPageBreak/>
        <w:t>predictive cues and the outcomes. We predicted that uncertainty would increase the memory scores for cues, in line with the previously established increased levels of overt attention to cues trained under uncertain conditions (e.g., Beesley et al., 2015; Easdale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7A908021" w14:textId="77777777" w:rsidR="00C908CA" w:rsidRDefault="00000000">
      <w:pPr>
        <w:pStyle w:val="BodyText"/>
      </w:pPr>
      <w:r>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lastRenderedPageBreak/>
        <w:t>certain condition, and therefore a short period of unexpected uncertainty appears to enhance the memory for, and thus processing of, the cues.</w:t>
      </w:r>
    </w:p>
    <w:p w14:paraId="14907D6F" w14:textId="77777777" w:rsidR="00C908CA" w:rsidRDefault="00000000">
      <w:pPr>
        <w:pStyle w:val="BodyText"/>
      </w:pPr>
      <w:r>
        <w:t xml:space="preserve">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Easdale et al., 2019; Walker et al., 2019; Walker et al., 2022), the results of Experiment 2 provide insights into the complex relationships between overt attention, active stimulus processing, and associative learning. The </w:t>
      </w:r>
      <w:r>
        <w:lastRenderedPageBreak/>
        <w:t>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 (Beesley et al., 2015; Easdale et al., 2019; Torrents-Rodas et al., 2023). Taken alone, the data from Experiment 2 suggest that the hitherto assumption that eye-gaze dwell time can be used as a proxy measure of stimulus associability, is on shaky ground.</w:t>
      </w:r>
    </w:p>
    <w:p w14:paraId="0628C027" w14:textId="77777777" w:rsidR="00C908CA" w:rsidRDefault="00000000">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 Easdale et al.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w:t>
      </w:r>
      <w:r>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64604DD1" w14:textId="77777777" w:rsidR="00C908CA" w:rsidRDefault="00000000">
      <w:pPr>
        <w:pStyle w:val="BodyText"/>
      </w:pPr>
      <w:r>
        <w:t>In view of the analysis provided in the context of the Pearce and Hall model, it is clear that the conditions of expected uncertainty present a major challenge to attentional theories of associative learning. The data from the current studies and others using similar designs (Beesley et al., 2015; Easdale et al., 2019; Walker et al., 2019; Walker et al., 2022) 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 “vigilance” on the task.</w:t>
      </w:r>
    </w:p>
    <w:p w14:paraId="5D9626DC" w14:textId="77777777" w:rsidR="00C908CA" w:rsidRDefault="00000000">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Thus, our analysis of the simple main effects is entirely exploratory, but this found a significant effect of group on the memory scores for non-predictive cues, </w:t>
      </w:r>
      <w:r>
        <w:rPr>
          <w:i/>
          <w:iCs/>
        </w:rPr>
        <w:t>F</w:t>
      </w:r>
      <w:r>
        <w:t xml:space="preserve">(2, 87) = 6.75, </w:t>
      </w:r>
      <w:r>
        <w:rPr>
          <w:i/>
          <w:iCs/>
        </w:rPr>
        <w:t>p</w:t>
      </w:r>
      <w:r>
        <w:t xml:space="preserve"> = .004, but not for the predictive cues, </w:t>
      </w:r>
      <w:r>
        <w:rPr>
          <w:i/>
          <w:iCs/>
        </w:rPr>
        <w:t>F</w:t>
      </w:r>
      <w:r>
        <w:t xml:space="preserve"> (2, 87) = 1.13, </w:t>
      </w:r>
      <w:r>
        <w:rPr>
          <w:i/>
          <w:iCs/>
        </w:rPr>
        <w:t>p</w:t>
      </w:r>
      <w:r>
        <w:t xml:space="preserve"> = .328. Thus, </w:t>
      </w:r>
      <w:r>
        <w:lastRenderedPageBreak/>
        <w:t>there is a suggestion that the elevated levels of recognition memory seen for the unexpected uncertain condition in Experiment 3 was primarily driven by increases in cue-processing for the non-predictive cues.</w:t>
      </w:r>
    </w:p>
    <w:p w14:paraId="645DC140" w14:textId="77777777" w:rsidR="00C908CA" w:rsidRDefault="00000000">
      <w:pPr>
        <w:pStyle w:val="BodyText"/>
      </w:pPr>
      <w:r>
        <w:t>According to the uncertainty principle, the increased levels of attention to cues associated with uncertainty operates as a mechanism to discover new cue-outcome relationships. This process has been referred to as “exploratory attention” (e.g., Beesley et al., 2015; Easdale et al., 2019) or “attention for learning” (e.g., Hall &amp; Rodríguez,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 (2019), participants could resolve the uncertainty in a second stage by learning about the meaningful associations pertaining to the previously non-predictive cues. In this situation increased attentional processing of the non-predictive cues was observed.</w:t>
      </w:r>
    </w:p>
    <w:p w14:paraId="7BCBB3B3" w14:textId="77777777" w:rsidR="00C908CA" w:rsidRDefault="00000000">
      <w:pPr>
        <w:pStyle w:val="BodyText"/>
      </w:pPr>
      <w:r>
        <w:t xml:space="preserve">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lastRenderedPageBreak/>
        <w:t>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manner in which attentional resources are allocated during uncertainty.</w:t>
      </w:r>
    </w:p>
    <w:p w14:paraId="50B9D91B" w14:textId="77777777" w:rsidR="00C908CA" w:rsidRDefault="00000000">
      <w:pPr>
        <w:pStyle w:val="BodyText"/>
      </w:pPr>
      <w:r>
        <w:t>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Easdale et al., 2019; Walker et al., 2019; Walker et al., 2022). The finding that higher overt attention doesn’t lead to faster learning (Beesley et al., 2015; Easdale et al., 2019; Torrents-Rodas et al., 2023) 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04CABD0D" w14:textId="77777777" w:rsidR="00C908CA" w:rsidRDefault="00000000">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lastRenderedPageBreak/>
        <w:t>learning will need to accommodate and refine our understanding of expected and unexpected uncertainty in order to adequately map out the relationships between patterns of reinforcement, stimulus processing, and learning.</w:t>
      </w:r>
    </w:p>
    <w:p w14:paraId="70C33FD6" w14:textId="77777777" w:rsidR="00C908CA" w:rsidRDefault="00000000">
      <w:pPr>
        <w:pStyle w:val="Heading1"/>
      </w:pPr>
      <w:bookmarkStart w:id="44" w:name="references"/>
      <w:bookmarkEnd w:id="43"/>
      <w:r>
        <w:t>References</w:t>
      </w:r>
    </w:p>
    <w:p w14:paraId="0D74E3B7" w14:textId="77777777" w:rsidR="00C908CA" w:rsidRDefault="00000000">
      <w:pPr>
        <w:pStyle w:val="Bibliography"/>
      </w:pPr>
      <w:bookmarkStart w:id="45" w:name="X57168802aaa77f18e04bb7ff96f81d57c719ae1"/>
      <w:bookmarkStart w:id="46" w:name="refs"/>
      <w:r>
        <w:t xml:space="preserve">Beesley, T., Nguyen, K. P., Pearson, D., &amp; Le Pelley, M. E. (2015). Uncertainty and predictiveness determine attention to cues during human associative learning. </w:t>
      </w:r>
      <w:r>
        <w:rPr>
          <w:i/>
          <w:iCs/>
        </w:rPr>
        <w:t>Quarterly Journal of Experimental Psychology</w:t>
      </w:r>
      <w:r>
        <w:t xml:space="preserve">, </w:t>
      </w:r>
      <w:r>
        <w:rPr>
          <w:i/>
          <w:iCs/>
        </w:rPr>
        <w:t>68</w:t>
      </w:r>
      <w:r>
        <w:t xml:space="preserve">(11), 2175–2199. </w:t>
      </w:r>
      <w:hyperlink r:id="rId19">
        <w:r>
          <w:rPr>
            <w:rStyle w:val="Hyperlink"/>
          </w:rPr>
          <w:t>https://doi.org/10.1080/17470218.2015.1009919</w:t>
        </w:r>
      </w:hyperlink>
    </w:p>
    <w:p w14:paraId="58509768" w14:textId="77777777" w:rsidR="00C908CA" w:rsidRDefault="00000000">
      <w:pPr>
        <w:pStyle w:val="Bibliography"/>
      </w:pPr>
      <w:bookmarkStart w:id="47" w:name="ref-behrensLearningValueInformation2007"/>
      <w:bookmarkEnd w:id="45"/>
      <w:r>
        <w:t xml:space="preserve">Behrens, T. E. J., Woolrich, M. W., Walton, M. E., &amp; Rushworth, M. F. S. (2007). Learning the value of information in an uncertain world. </w:t>
      </w:r>
      <w:r>
        <w:rPr>
          <w:i/>
          <w:iCs/>
        </w:rPr>
        <w:t>Nature Neuroscience</w:t>
      </w:r>
      <w:r>
        <w:t xml:space="preserve">, </w:t>
      </w:r>
      <w:r>
        <w:rPr>
          <w:i/>
          <w:iCs/>
        </w:rPr>
        <w:t>10</w:t>
      </w:r>
      <w:r>
        <w:t xml:space="preserve">(9, 9), 1214–1221. </w:t>
      </w:r>
      <w:hyperlink r:id="rId20">
        <w:r>
          <w:rPr>
            <w:rStyle w:val="Hyperlink"/>
          </w:rPr>
          <w:t>https://doi.org/10.1038/nn1954</w:t>
        </w:r>
      </w:hyperlink>
    </w:p>
    <w:p w14:paraId="26CD45E7" w14:textId="77777777" w:rsidR="00C908CA" w:rsidRDefault="00000000">
      <w:pPr>
        <w:pStyle w:val="Bibliography"/>
      </w:pPr>
      <w:bookmarkStart w:id="48" w:name="ref-chunInteractionsAttentionMemory2007"/>
      <w:bookmarkEnd w:id="47"/>
      <w:r>
        <w:t xml:space="preserve">Chun, M. M., &amp; Turk-Browne, N. B. (2007). Interactions between attention and memory. </w:t>
      </w:r>
      <w:r>
        <w:rPr>
          <w:i/>
          <w:iCs/>
        </w:rPr>
        <w:t>Current Opinion in Neurobiology</w:t>
      </w:r>
      <w:r>
        <w:t xml:space="preserve">, </w:t>
      </w:r>
      <w:r>
        <w:rPr>
          <w:i/>
          <w:iCs/>
        </w:rPr>
        <w:t>17</w:t>
      </w:r>
      <w:r>
        <w:t xml:space="preserve">(2), 177–184. </w:t>
      </w:r>
      <w:hyperlink r:id="rId21">
        <w:r>
          <w:rPr>
            <w:rStyle w:val="Hyperlink"/>
          </w:rPr>
          <w:t>https://doi.org/10.1016/j.conb.2007.03.005</w:t>
        </w:r>
      </w:hyperlink>
    </w:p>
    <w:p w14:paraId="2BFF6F95" w14:textId="77777777" w:rsidR="00C908CA" w:rsidRDefault="00000000">
      <w:pPr>
        <w:pStyle w:val="Bibliography"/>
      </w:pPr>
      <w:bookmarkStart w:id="49" w:name="ref-craikLevelsProcessingFramework1972"/>
      <w:bookmarkEnd w:id="48"/>
      <w:r>
        <w:t xml:space="preserve">Craik, F. I. M., &amp; Lockhart, R. S. (1972). Levels of processing: A framework for memory research. </w:t>
      </w:r>
      <w:r>
        <w:rPr>
          <w:i/>
          <w:iCs/>
        </w:rPr>
        <w:t>Journal of Verbal Learning and Verbal Behavior</w:t>
      </w:r>
      <w:r>
        <w:t xml:space="preserve">, </w:t>
      </w:r>
      <w:r>
        <w:rPr>
          <w:i/>
          <w:iCs/>
        </w:rPr>
        <w:t>11</w:t>
      </w:r>
      <w:r>
        <w:t xml:space="preserve">(6), 671–684. </w:t>
      </w:r>
      <w:hyperlink r:id="rId22">
        <w:r>
          <w:rPr>
            <w:rStyle w:val="Hyperlink"/>
          </w:rPr>
          <w:t>https://doi.org/10.1016/S0022-5371(72)80001-X</w:t>
        </w:r>
      </w:hyperlink>
    </w:p>
    <w:p w14:paraId="0168779B" w14:textId="77777777" w:rsidR="00C908CA" w:rsidRDefault="00000000">
      <w:pPr>
        <w:pStyle w:val="Bibliography"/>
      </w:pPr>
      <w:bookmarkStart w:id="50" w:name="ref-craikDepthProcessingRetention1975"/>
      <w:bookmarkEnd w:id="49"/>
      <w:r>
        <w:t xml:space="preserve">Craik, F. I. M., &amp; Tulving, E. (1975). Depth of processing and the retention of words in episodic memory. </w:t>
      </w:r>
      <w:r>
        <w:rPr>
          <w:i/>
          <w:iCs/>
        </w:rPr>
        <w:t>Journal of Experimental Psychology: General</w:t>
      </w:r>
      <w:r>
        <w:t xml:space="preserve">, </w:t>
      </w:r>
      <w:r>
        <w:rPr>
          <w:i/>
          <w:iCs/>
        </w:rPr>
        <w:t>104</w:t>
      </w:r>
      <w:r>
        <w:t xml:space="preserve">(3), 268–294. </w:t>
      </w:r>
      <w:hyperlink r:id="rId23">
        <w:r>
          <w:rPr>
            <w:rStyle w:val="Hyperlink"/>
          </w:rPr>
          <w:t>https://doi.org/10.1037/0096-3445.104.3.268</w:t>
        </w:r>
      </w:hyperlink>
    </w:p>
    <w:p w14:paraId="1FC12BEF" w14:textId="77777777" w:rsidR="00C908CA" w:rsidRDefault="00000000">
      <w:pPr>
        <w:pStyle w:val="Bibliography"/>
      </w:pPr>
      <w:bookmarkStart w:id="51" w:name="X97490bacb8246f80fb4b5666c3d3f4d71e0e753"/>
      <w:bookmarkEnd w:id="50"/>
      <w:r>
        <w:t xml:space="preserve">Easdale, L. C., Le Pelley, M. E., &amp; Beesley, T. (2019). The onset of uncertainty facilitates the learning of new associations by increasing attention to cues. </w:t>
      </w:r>
      <w:r>
        <w:rPr>
          <w:i/>
          <w:iCs/>
        </w:rPr>
        <w:t xml:space="preserve">Quarterly Journal of </w:t>
      </w:r>
      <w:r>
        <w:rPr>
          <w:i/>
          <w:iCs/>
        </w:rPr>
        <w:lastRenderedPageBreak/>
        <w:t>Experimental Psychology</w:t>
      </w:r>
      <w:r>
        <w:t xml:space="preserve">, </w:t>
      </w:r>
      <w:r>
        <w:rPr>
          <w:i/>
          <w:iCs/>
        </w:rPr>
        <w:t>72</w:t>
      </w:r>
      <w:r>
        <w:t xml:space="preserve">(2), 193–208. </w:t>
      </w:r>
      <w:hyperlink r:id="rId24">
        <w:r>
          <w:rPr>
            <w:rStyle w:val="Hyperlink"/>
          </w:rPr>
          <w:t>https://doi.org/10.1080/17470218.2017.1363257</w:t>
        </w:r>
      </w:hyperlink>
    </w:p>
    <w:p w14:paraId="50BF3343" w14:textId="77777777" w:rsidR="00C908CA" w:rsidRDefault="00000000">
      <w:pPr>
        <w:pStyle w:val="Bibliography"/>
      </w:pPr>
      <w:bookmarkStart w:id="52" w:name="Xae984a4694c8b7019542e6fb19b96b322787484"/>
      <w:bookmarkEnd w:id="51"/>
      <w:r>
        <w:t xml:space="preserve">Esber, G. R., &amp; Haselgrove, M. (2011). Reconciling the influence of predictiveness and uncertainty on stimulus salience: A model of attention in associative learning. </w:t>
      </w:r>
      <w:r>
        <w:rPr>
          <w:i/>
          <w:iCs/>
        </w:rPr>
        <w:t>Proceedings of the Royal Society B: Biological Sciences</w:t>
      </w:r>
      <w:r>
        <w:t xml:space="preserve">, </w:t>
      </w:r>
      <w:r>
        <w:rPr>
          <w:i/>
          <w:iCs/>
        </w:rPr>
        <w:t>278</w:t>
      </w:r>
      <w:r>
        <w:t xml:space="preserve">(1718), 2553–2561. </w:t>
      </w:r>
      <w:hyperlink r:id="rId25">
        <w:r>
          <w:rPr>
            <w:rStyle w:val="Hyperlink"/>
          </w:rPr>
          <w:t>https://doi.org/10.1098/rspb.2011.0836</w:t>
        </w:r>
      </w:hyperlink>
    </w:p>
    <w:p w14:paraId="521E6299" w14:textId="77777777" w:rsidR="00C908CA" w:rsidRDefault="00000000">
      <w:pPr>
        <w:pStyle w:val="Bibliography"/>
      </w:pPr>
      <w:bookmarkStart w:id="53" w:name="ref-faulStatisticalPowerAnalyses2007"/>
      <w:bookmarkEnd w:id="52"/>
      <w:r w:rsidRPr="00D56862">
        <w:rPr>
          <w:lang w:val="de-DE"/>
        </w:rPr>
        <w:t xml:space="preserve">Faul, F., Erdfelder, E., </w:t>
      </w:r>
      <w:proofErr w:type="gramStart"/>
      <w:r w:rsidRPr="00D56862">
        <w:rPr>
          <w:lang w:val="de-DE"/>
        </w:rPr>
        <w:t>Lang</w:t>
      </w:r>
      <w:proofErr w:type="gramEnd"/>
      <w:r w:rsidRPr="00D56862">
        <w:rPr>
          <w:lang w:val="de-DE"/>
        </w:rPr>
        <w:t xml:space="preserve">, A.-G., &amp; Buchner, A. (2007). </w:t>
      </w:r>
      <w:r>
        <w:t xml:space="preserve">Statistical power analyses using G*Power 3.1: Tests for correlation and regression analyses. </w:t>
      </w:r>
      <w:r>
        <w:rPr>
          <w:i/>
          <w:iCs/>
        </w:rPr>
        <w:t>Behavior Research Methods</w:t>
      </w:r>
      <w:r>
        <w:t xml:space="preserve">, </w:t>
      </w:r>
      <w:r>
        <w:rPr>
          <w:i/>
          <w:iCs/>
        </w:rPr>
        <w:t>39</w:t>
      </w:r>
      <w:r>
        <w:t>, 175–191.</w:t>
      </w:r>
    </w:p>
    <w:p w14:paraId="72B9743A" w14:textId="77777777" w:rsidR="00C908CA" w:rsidRDefault="00000000">
      <w:pPr>
        <w:pStyle w:val="Bibliography"/>
      </w:pPr>
      <w:bookmarkStart w:id="54" w:name="Xa50a2496fe31f11bad9ebc7f08e3848e8d85390"/>
      <w:bookmarkEnd w:id="53"/>
      <w:r>
        <w:t xml:space="preserve">Fletcher, P. C., Shallice, T., &amp; Dolan, R. J. (1998). The functional roles of prefrontal cortex in episodic memory. I. Encoding. </w:t>
      </w:r>
      <w:r>
        <w:rPr>
          <w:i/>
          <w:iCs/>
        </w:rPr>
        <w:t>Brain</w:t>
      </w:r>
      <w:r>
        <w:t xml:space="preserve">, </w:t>
      </w:r>
      <w:r>
        <w:rPr>
          <w:i/>
          <w:iCs/>
        </w:rPr>
        <w:t>121</w:t>
      </w:r>
      <w:r>
        <w:t xml:space="preserve">(7), 1239–1248. </w:t>
      </w:r>
      <w:hyperlink r:id="rId26">
        <w:r>
          <w:rPr>
            <w:rStyle w:val="Hyperlink"/>
          </w:rPr>
          <w:t>https://doi.org/10.1093/brain/121.7.1239</w:t>
        </w:r>
      </w:hyperlink>
    </w:p>
    <w:p w14:paraId="4FACBD72" w14:textId="77777777" w:rsidR="00C908CA" w:rsidRDefault="00000000">
      <w:pPr>
        <w:pStyle w:val="Bibliography"/>
      </w:pPr>
      <w:bookmarkStart w:id="55" w:name="ref-griffithsNegativeTransferHuman2011"/>
      <w:bookmarkEnd w:id="54"/>
      <w:r>
        <w:t xml:space="preserve">Griffiths, O., Johnson, A. M., &amp; Mitchell, C. J. (2011). Negative Transfer in Human Associative Learning. </w:t>
      </w:r>
      <w:r>
        <w:rPr>
          <w:i/>
          <w:iCs/>
        </w:rPr>
        <w:t>Psychological Science</w:t>
      </w:r>
      <w:r>
        <w:t xml:space="preserve">, </w:t>
      </w:r>
      <w:r>
        <w:rPr>
          <w:i/>
          <w:iCs/>
        </w:rPr>
        <w:t>22</w:t>
      </w:r>
      <w:r>
        <w:t xml:space="preserve">(9), 1198–1204. </w:t>
      </w:r>
      <w:hyperlink r:id="rId27">
        <w:r>
          <w:rPr>
            <w:rStyle w:val="Hyperlink"/>
          </w:rPr>
          <w:t>https://doi.org/10.1177/0956797611419305</w:t>
        </w:r>
      </w:hyperlink>
    </w:p>
    <w:p w14:paraId="30EC994E" w14:textId="77777777" w:rsidR="00C908CA" w:rsidRDefault="00000000">
      <w:pPr>
        <w:pStyle w:val="Bibliography"/>
      </w:pPr>
      <w:bookmarkStart w:id="56" w:name="ref-griffithsSelectiveAttentionHuman2008"/>
      <w:bookmarkEnd w:id="55"/>
      <w:r>
        <w:t xml:space="preserve">Griffiths, O., &amp; Mitchell, C. J. (2008). Selective attention in human associative learning and recognition memory. </w:t>
      </w:r>
      <w:r>
        <w:rPr>
          <w:i/>
          <w:iCs/>
        </w:rPr>
        <w:t>Journal of Experimental Psychology: General</w:t>
      </w:r>
      <w:r>
        <w:t xml:space="preserve">, </w:t>
      </w:r>
      <w:r>
        <w:rPr>
          <w:i/>
          <w:iCs/>
        </w:rPr>
        <w:t>137</w:t>
      </w:r>
      <w:r>
        <w:t xml:space="preserve">(4), 626–648. </w:t>
      </w:r>
      <w:hyperlink r:id="rId28">
        <w:r>
          <w:rPr>
            <w:rStyle w:val="Hyperlink"/>
          </w:rPr>
          <w:t>https://doi.org/10.1037/a0013685</w:t>
        </w:r>
      </w:hyperlink>
    </w:p>
    <w:p w14:paraId="7FC20579" w14:textId="77777777" w:rsidR="00C908CA" w:rsidRDefault="00000000">
      <w:pPr>
        <w:pStyle w:val="Bibliography"/>
      </w:pPr>
      <w:bookmarkStart w:id="57" w:name="ref-hallAttentionPerceiveLearn2019a"/>
      <w:bookmarkEnd w:id="56"/>
      <w:r>
        <w:t xml:space="preserve">Hall, G., &amp; Rodr’ıguez, G. (2019). Attention to perceive, to learn and to respond. </w:t>
      </w:r>
      <w:r>
        <w:rPr>
          <w:i/>
          <w:iCs/>
        </w:rPr>
        <w:t>Quarterly Journal of Experimental Psychology</w:t>
      </w:r>
      <w:r>
        <w:t xml:space="preserve">, </w:t>
      </w:r>
      <w:r>
        <w:rPr>
          <w:i/>
          <w:iCs/>
        </w:rPr>
        <w:t>72</w:t>
      </w:r>
      <w:r>
        <w:t xml:space="preserve">(2), 335–345. </w:t>
      </w:r>
      <w:hyperlink r:id="rId29">
        <w:r>
          <w:rPr>
            <w:rStyle w:val="Hyperlink"/>
          </w:rPr>
          <w:t>https://doi.org/10.1080/17470218.2017.1339719</w:t>
        </w:r>
      </w:hyperlink>
    </w:p>
    <w:p w14:paraId="5158DF61" w14:textId="77777777" w:rsidR="00C908CA" w:rsidRDefault="00000000">
      <w:pPr>
        <w:pStyle w:val="Bibliography"/>
      </w:pPr>
      <w:bookmarkStart w:id="58" w:name="ref-kerstenTwoCompetingAttentional1998"/>
      <w:bookmarkEnd w:id="57"/>
      <w:r>
        <w:lastRenderedPageBreak/>
        <w:t xml:space="preserve">Kersten, A. W., Goldstone, R. L., &amp; Schaffert, A. (1998). Two competing attentional mechanisms in category learning. </w:t>
      </w:r>
      <w:r>
        <w:rPr>
          <w:i/>
          <w:iCs/>
        </w:rPr>
        <w:t>Journal of Experimental Psychology: Learning, Memory, and Cognition</w:t>
      </w:r>
      <w:r>
        <w:t xml:space="preserve">, </w:t>
      </w:r>
      <w:r>
        <w:rPr>
          <w:i/>
          <w:iCs/>
        </w:rPr>
        <w:t>24</w:t>
      </w:r>
      <w:r>
        <w:t xml:space="preserve">(6), 1437–1458. </w:t>
      </w:r>
      <w:hyperlink r:id="rId30">
        <w:r>
          <w:rPr>
            <w:rStyle w:val="Hyperlink"/>
          </w:rPr>
          <w:t>https://doi.org/10.1037/0278-7393.24.6.1437</w:t>
        </w:r>
      </w:hyperlink>
    </w:p>
    <w:p w14:paraId="597E5FC8" w14:textId="77777777" w:rsidR="00C908CA" w:rsidRDefault="00000000">
      <w:pPr>
        <w:pStyle w:val="Bibliography"/>
      </w:pPr>
      <w:bookmarkStart w:id="59" w:name="ref-koenigRewardDrawsEye2017"/>
      <w:bookmarkEnd w:id="58"/>
      <w:proofErr w:type="spellStart"/>
      <w:r w:rsidRPr="00D56862">
        <w:rPr>
          <w:lang w:val="de-DE"/>
        </w:rPr>
        <w:t>Koenig</w:t>
      </w:r>
      <w:proofErr w:type="spellEnd"/>
      <w:r w:rsidRPr="00D56862">
        <w:rPr>
          <w:lang w:val="de-DE"/>
        </w:rPr>
        <w:t xml:space="preserve">, S., </w:t>
      </w:r>
      <w:proofErr w:type="spellStart"/>
      <w:r w:rsidRPr="00D56862">
        <w:rPr>
          <w:lang w:val="de-DE"/>
        </w:rPr>
        <w:t>Kadel</w:t>
      </w:r>
      <w:proofErr w:type="spellEnd"/>
      <w:r w:rsidRPr="00D56862">
        <w:rPr>
          <w:lang w:val="de-DE"/>
        </w:rPr>
        <w:t xml:space="preserve">, H., </w:t>
      </w:r>
      <w:proofErr w:type="spellStart"/>
      <w:r w:rsidRPr="00D56862">
        <w:rPr>
          <w:lang w:val="de-DE"/>
        </w:rPr>
        <w:t>Uengoer</w:t>
      </w:r>
      <w:proofErr w:type="spellEnd"/>
      <w:r w:rsidRPr="00D56862">
        <w:rPr>
          <w:lang w:val="de-DE"/>
        </w:rPr>
        <w:t xml:space="preserve">, M., </w:t>
      </w:r>
      <w:proofErr w:type="spellStart"/>
      <w:r w:rsidRPr="00D56862">
        <w:rPr>
          <w:lang w:val="de-DE"/>
        </w:rPr>
        <w:t>Schubö</w:t>
      </w:r>
      <w:proofErr w:type="spellEnd"/>
      <w:r w:rsidRPr="00D56862">
        <w:rPr>
          <w:lang w:val="de-DE"/>
        </w:rPr>
        <w:t xml:space="preserve">, A., &amp; </w:t>
      </w:r>
      <w:proofErr w:type="spellStart"/>
      <w:r w:rsidRPr="00D56862">
        <w:rPr>
          <w:lang w:val="de-DE"/>
        </w:rPr>
        <w:t>Lachnit</w:t>
      </w:r>
      <w:proofErr w:type="spellEnd"/>
      <w:r w:rsidRPr="00D56862">
        <w:rPr>
          <w:lang w:val="de-DE"/>
        </w:rPr>
        <w:t xml:space="preserve">, H. (2017). </w:t>
      </w:r>
      <w:r>
        <w:t xml:space="preserve">Reward Draws the Eye, Uncertainty Holds the Eye: Associative Learning Modulates Distractor Interference in Visual Search. </w:t>
      </w:r>
      <w:r>
        <w:rPr>
          <w:i/>
          <w:iCs/>
        </w:rPr>
        <w:t>Frontiers in Behavioral Neuroscience</w:t>
      </w:r>
      <w:r>
        <w:t xml:space="preserve">, </w:t>
      </w:r>
      <w:r>
        <w:rPr>
          <w:i/>
          <w:iCs/>
        </w:rPr>
        <w:t>11</w:t>
      </w:r>
      <w:r>
        <w:t xml:space="preserve">. </w:t>
      </w:r>
      <w:hyperlink r:id="rId31">
        <w:r>
          <w:rPr>
            <w:rStyle w:val="Hyperlink"/>
          </w:rPr>
          <w:t>https://www.frontiersin.org/articles/10.3389/fnbeh.2017.00128</w:t>
        </w:r>
      </w:hyperlink>
    </w:p>
    <w:p w14:paraId="602D69CD" w14:textId="77777777" w:rsidR="00C908CA" w:rsidRDefault="00000000">
      <w:pPr>
        <w:pStyle w:val="Bibliography"/>
      </w:pPr>
      <w:bookmarkStart w:id="60" w:name="ref-kruschkeUnifiedModelAttention2001"/>
      <w:bookmarkEnd w:id="59"/>
      <w:r>
        <w:t xml:space="preserve">Kruschke, J. K. (2001). Toward a Unified Model of Attention in Associative Learning. </w:t>
      </w:r>
      <w:r>
        <w:rPr>
          <w:i/>
          <w:iCs/>
        </w:rPr>
        <w:t>Journal of Mathematical Psychology</w:t>
      </w:r>
      <w:r>
        <w:t xml:space="preserve">, </w:t>
      </w:r>
      <w:r>
        <w:rPr>
          <w:i/>
          <w:iCs/>
        </w:rPr>
        <w:t>45</w:t>
      </w:r>
      <w:r>
        <w:t xml:space="preserve">(6), 812–863. </w:t>
      </w:r>
      <w:hyperlink r:id="rId32">
        <w:r>
          <w:rPr>
            <w:rStyle w:val="Hyperlink"/>
          </w:rPr>
          <w:t>https://doi.org/10.1006/jmps.2000.1354</w:t>
        </w:r>
      </w:hyperlink>
    </w:p>
    <w:p w14:paraId="4940B7C3" w14:textId="77777777" w:rsidR="00C908CA" w:rsidRDefault="00000000">
      <w:pPr>
        <w:pStyle w:val="Bibliography"/>
      </w:pPr>
      <w:bookmarkStart w:id="61" w:name="ref-kruschkeAttentionLearning2003"/>
      <w:bookmarkEnd w:id="60"/>
      <w:r>
        <w:t xml:space="preserve">Kruschke, J. K. (2003). Attention in Learning. </w:t>
      </w:r>
      <w:r>
        <w:rPr>
          <w:i/>
          <w:iCs/>
        </w:rPr>
        <w:t>Current Directions in Psychological Science</w:t>
      </w:r>
      <w:r>
        <w:t xml:space="preserve">, </w:t>
      </w:r>
      <w:r>
        <w:rPr>
          <w:i/>
          <w:iCs/>
        </w:rPr>
        <w:t>12</w:t>
      </w:r>
      <w:r>
        <w:t xml:space="preserve">(5), 171–175. </w:t>
      </w:r>
      <w:hyperlink r:id="rId33">
        <w:r>
          <w:rPr>
            <w:rStyle w:val="Hyperlink"/>
          </w:rPr>
          <w:t>https://doi.org/10.1111/1467-8721.01254</w:t>
        </w:r>
      </w:hyperlink>
    </w:p>
    <w:p w14:paraId="52D688F5" w14:textId="77777777" w:rsidR="00C908CA" w:rsidRDefault="00000000">
      <w:pPr>
        <w:pStyle w:val="Bibliography"/>
      </w:pPr>
      <w:bookmarkStart w:id="62" w:name="ref-lepelleyRoleAssociativeHistory2004"/>
      <w:bookmarkEnd w:id="61"/>
      <w:r>
        <w:t xml:space="preserve">Le Pelley, M. E. (2004). The Role of Associative History in Models of Associative Learning: A Selective Review and a Hybrid Model. </w:t>
      </w:r>
      <w:r>
        <w:rPr>
          <w:i/>
          <w:iCs/>
        </w:rPr>
        <w:t>The Quarterly Journal of Experimental Psychology Section B</w:t>
      </w:r>
      <w:r>
        <w:t xml:space="preserve">, </w:t>
      </w:r>
      <w:r>
        <w:rPr>
          <w:i/>
          <w:iCs/>
        </w:rPr>
        <w:t>57</w:t>
      </w:r>
      <w:r>
        <w:t xml:space="preserve">, 193–243. </w:t>
      </w:r>
      <w:hyperlink r:id="rId34">
        <w:r>
          <w:rPr>
            <w:rStyle w:val="Hyperlink"/>
          </w:rPr>
          <w:t>https://doi.org/10.1080/02724990344000141</w:t>
        </w:r>
      </w:hyperlink>
    </w:p>
    <w:p w14:paraId="0B510609" w14:textId="77777777" w:rsidR="00C908CA" w:rsidRDefault="00000000">
      <w:pPr>
        <w:pStyle w:val="Bibliography"/>
      </w:pPr>
      <w:bookmarkStart w:id="63" w:name="Xfd8e08b558d651fc386237bfe6725ed78bfff4d"/>
      <w:bookmarkEnd w:id="62"/>
      <w:r>
        <w:t xml:space="preserve">Le Pelley, M. E., Beesley, T., &amp; Griffiths, O. (2011). Overt attention and predictiveness in human contingency learning. </w:t>
      </w:r>
      <w:r>
        <w:rPr>
          <w:i/>
          <w:iCs/>
        </w:rPr>
        <w:t>Journal of Experimental Psychology. Animal Behavior Processes</w:t>
      </w:r>
      <w:r>
        <w:t xml:space="preserve">, </w:t>
      </w:r>
      <w:r>
        <w:rPr>
          <w:i/>
          <w:iCs/>
        </w:rPr>
        <w:t>37</w:t>
      </w:r>
      <w:r>
        <w:t xml:space="preserve">(2), 220–229. </w:t>
      </w:r>
      <w:hyperlink r:id="rId35">
        <w:r>
          <w:rPr>
            <w:rStyle w:val="Hyperlink"/>
          </w:rPr>
          <w:t>https://doi.org/10.1037/a0021384</w:t>
        </w:r>
      </w:hyperlink>
    </w:p>
    <w:p w14:paraId="3E613161" w14:textId="77777777" w:rsidR="00C908CA" w:rsidRDefault="00000000">
      <w:pPr>
        <w:pStyle w:val="Bibliography"/>
      </w:pPr>
      <w:bookmarkStart w:id="64" w:name="Xb640d47b9b72f9c117f2588eb98bb6d7bc50a55"/>
      <w:bookmarkEnd w:id="63"/>
      <w:r>
        <w:t xml:space="preserve">Le Pelley, M. E., Haselgrove, M., &amp; Esber, G. R. (2012). Modeling attention in associative learning: Two processes or one? </w:t>
      </w:r>
      <w:r>
        <w:rPr>
          <w:i/>
          <w:iCs/>
        </w:rPr>
        <w:t>Learning &amp; Behavior</w:t>
      </w:r>
      <w:r>
        <w:t xml:space="preserve">, </w:t>
      </w:r>
      <w:r>
        <w:rPr>
          <w:i/>
          <w:iCs/>
        </w:rPr>
        <w:t>40</w:t>
      </w:r>
      <w:r>
        <w:t xml:space="preserve">(3), 292–304. </w:t>
      </w:r>
      <w:hyperlink r:id="rId36">
        <w:r>
          <w:rPr>
            <w:rStyle w:val="Hyperlink"/>
          </w:rPr>
          <w:t>https://doi.org/10.3758/s13420-012-0084-4</w:t>
        </w:r>
      </w:hyperlink>
    </w:p>
    <w:p w14:paraId="31B0333A" w14:textId="77777777" w:rsidR="00C908CA" w:rsidRDefault="00000000">
      <w:pPr>
        <w:pStyle w:val="Bibliography"/>
      </w:pPr>
      <w:bookmarkStart w:id="65" w:name="Xb206b7e771dee861385597d4f68bd3eb78e168d"/>
      <w:bookmarkEnd w:id="64"/>
      <w:r>
        <w:t xml:space="preserve">Le Pelley, M. E., &amp; McLaren, I. P. L. (2003). Learned Associability and Associative Change in Human Causal Learning. </w:t>
      </w:r>
      <w:r>
        <w:rPr>
          <w:i/>
          <w:iCs/>
        </w:rPr>
        <w:t>The Quarterly Journal of Experimental Psychology Section B</w:t>
      </w:r>
      <w:r>
        <w:t xml:space="preserve">, </w:t>
      </w:r>
      <w:r>
        <w:rPr>
          <w:i/>
          <w:iCs/>
        </w:rPr>
        <w:t>56</w:t>
      </w:r>
      <w:r>
        <w:t xml:space="preserve">, 68–79. </w:t>
      </w:r>
      <w:hyperlink r:id="rId37">
        <w:r>
          <w:rPr>
            <w:rStyle w:val="Hyperlink"/>
          </w:rPr>
          <w:t>https://doi.org/10.1080/02724990244000179</w:t>
        </w:r>
      </w:hyperlink>
    </w:p>
    <w:p w14:paraId="4FA9FB81" w14:textId="77777777" w:rsidR="00C908CA" w:rsidRDefault="00000000">
      <w:pPr>
        <w:pStyle w:val="Bibliography"/>
      </w:pPr>
      <w:bookmarkStart w:id="66" w:name="X37723a9fa7f211c3ec5c6441aae85f8cec4184a"/>
      <w:bookmarkEnd w:id="65"/>
      <w:r>
        <w:lastRenderedPageBreak/>
        <w:t xml:space="preserve">Le Pelley, M. E., Mitchell, C. J., Beesley, T., George, D. N., &amp; Wills, A. J. (2016). Attention and associative learning in humans: An integrative review. </w:t>
      </w:r>
      <w:r>
        <w:rPr>
          <w:i/>
          <w:iCs/>
        </w:rPr>
        <w:t>Psychological Bulletin</w:t>
      </w:r>
      <w:r>
        <w:t xml:space="preserve">, </w:t>
      </w:r>
      <w:r>
        <w:rPr>
          <w:i/>
          <w:iCs/>
        </w:rPr>
        <w:t>142</w:t>
      </w:r>
      <w:r>
        <w:t xml:space="preserve">(10), 1111–1140. </w:t>
      </w:r>
      <w:hyperlink r:id="rId38">
        <w:r>
          <w:rPr>
            <w:rStyle w:val="Hyperlink"/>
          </w:rPr>
          <w:t>https://doi.org/10.1037/bul0000064</w:t>
        </w:r>
      </w:hyperlink>
    </w:p>
    <w:p w14:paraId="05F1327F" w14:textId="059975B0" w:rsidR="00D56862" w:rsidRDefault="00D56862">
      <w:pPr>
        <w:pStyle w:val="Bibliography"/>
      </w:pPr>
      <w:bookmarkStart w:id="67" w:name="Xff036088e0f9f9bf506af0c3913d06364b8b5f0"/>
      <w:bookmarkEnd w:id="66"/>
      <w:r w:rsidRPr="00D56862">
        <w:t>Le Pelley, M. E., Vadillo, M., &amp; Luque, D. (2013). Learned predictiveness influences rapid attentional capture: Evidence from the dot probe task. </w:t>
      </w:r>
      <w:r w:rsidRPr="00D56862">
        <w:rPr>
          <w:i/>
          <w:iCs/>
        </w:rPr>
        <w:t>Journal of Experimental Psychology: Learning, Memory, and Cognition, 39</w:t>
      </w:r>
      <w:r w:rsidRPr="00D56862">
        <w:t>(6), 1888–1900. </w:t>
      </w:r>
      <w:hyperlink r:id="rId39" w:tgtFrame="_blank" w:history="1">
        <w:r w:rsidRPr="00D56862">
          <w:rPr>
            <w:rStyle w:val="Hyperlink"/>
          </w:rPr>
          <w:t>https://doi.org/10.1037/a0033700</w:t>
        </w:r>
      </w:hyperlink>
    </w:p>
    <w:p w14:paraId="47226FFC" w14:textId="28815D9E" w:rsidR="00C908CA" w:rsidRDefault="00000000">
      <w:pPr>
        <w:pStyle w:val="Bibliography"/>
      </w:pPr>
      <w:r>
        <w:t xml:space="preserve">Luque, D., Vadillo, M. A., Le Pelley, M. E., &amp; Beesley, T. (2017). Prediction and Uncertainty in Associative Learning: Examining Controlled and Automatic Components of Learned Attentional Biases. </w:t>
      </w:r>
      <w:r>
        <w:rPr>
          <w:i/>
          <w:iCs/>
        </w:rPr>
        <w:t>Quarterly Journal of Experimental Psychology</w:t>
      </w:r>
      <w:r>
        <w:t xml:space="preserve">, </w:t>
      </w:r>
      <w:r>
        <w:rPr>
          <w:i/>
          <w:iCs/>
        </w:rPr>
        <w:t>70</w:t>
      </w:r>
      <w:r>
        <w:t xml:space="preserve">(8), 1485–1503. </w:t>
      </w:r>
      <w:hyperlink r:id="rId40">
        <w:r>
          <w:rPr>
            <w:rStyle w:val="Hyperlink"/>
          </w:rPr>
          <w:t>https://doi.org/10.1080/17470218.2016.1188407</w:t>
        </w:r>
      </w:hyperlink>
    </w:p>
    <w:p w14:paraId="0F2EF483" w14:textId="77777777" w:rsidR="00C908CA" w:rsidRDefault="00000000">
      <w:pPr>
        <w:pStyle w:val="Bibliography"/>
      </w:pPr>
      <w:bookmarkStart w:id="68" w:name="X8615592d0c62214ee7b1fac041bf88aa7de962e"/>
      <w:bookmarkEnd w:id="67"/>
      <w:r>
        <w:t xml:space="preserve">Mackintosh, N. J. (1975). A theory of attention: Variations in the associability of stimuli with reinforcement. </w:t>
      </w:r>
      <w:r>
        <w:rPr>
          <w:i/>
          <w:iCs/>
        </w:rPr>
        <w:t>Psychological Review</w:t>
      </w:r>
      <w:r>
        <w:t xml:space="preserve">, </w:t>
      </w:r>
      <w:r>
        <w:rPr>
          <w:i/>
          <w:iCs/>
        </w:rPr>
        <w:t>82</w:t>
      </w:r>
      <w:r>
        <w:t xml:space="preserve">(4), 276–298. </w:t>
      </w:r>
      <w:hyperlink r:id="rId41">
        <w:r>
          <w:rPr>
            <w:rStyle w:val="Hyperlink"/>
          </w:rPr>
          <w:t>https://doi.org/10.1037/h0076778</w:t>
        </w:r>
      </w:hyperlink>
    </w:p>
    <w:p w14:paraId="1766F087" w14:textId="77777777" w:rsidR="00C908CA" w:rsidRDefault="00000000">
      <w:pPr>
        <w:pStyle w:val="Bibliography"/>
      </w:pPr>
      <w:bookmarkStart w:id="69" w:name="ref-ottenBrainActivityEvent2006"/>
      <w:bookmarkEnd w:id="68"/>
      <w:r>
        <w:t xml:space="preserve">Otten, L. J., Quayle, A. H., Akram, S., Ditewig, T. A., &amp; Rugg, M. D. (2006). Brain activity before an event predicts later recollection. </w:t>
      </w:r>
      <w:r>
        <w:rPr>
          <w:i/>
          <w:iCs/>
        </w:rPr>
        <w:t>Nature Neuroscience</w:t>
      </w:r>
      <w:r>
        <w:t xml:space="preserve">, </w:t>
      </w:r>
      <w:r>
        <w:rPr>
          <w:i/>
          <w:iCs/>
        </w:rPr>
        <w:t>9</w:t>
      </w:r>
      <w:r>
        <w:t xml:space="preserve">(4), 489–491. </w:t>
      </w:r>
      <w:hyperlink r:id="rId42">
        <w:r>
          <w:rPr>
            <w:rStyle w:val="Hyperlink"/>
          </w:rPr>
          <w:t>https://doi.org/10.1038/nn1663</w:t>
        </w:r>
      </w:hyperlink>
    </w:p>
    <w:p w14:paraId="63262197" w14:textId="77777777" w:rsidR="00C908CA" w:rsidRDefault="00000000">
      <w:pPr>
        <w:pStyle w:val="Bibliography"/>
      </w:pPr>
      <w:bookmarkStart w:id="70" w:name="ref-pearceModelPavlovianLearning1980"/>
      <w:bookmarkEnd w:id="69"/>
      <w:r>
        <w:t xml:space="preserve">Pearce, J. M., &amp; Hall, G. (1980). A model for Pavlovian learning: Variations in the effectiveness of conditioned but not of unconditioned stimuli. </w:t>
      </w:r>
      <w:r>
        <w:rPr>
          <w:i/>
          <w:iCs/>
        </w:rPr>
        <w:t>Psychological Review</w:t>
      </w:r>
      <w:r>
        <w:t xml:space="preserve">, </w:t>
      </w:r>
      <w:r>
        <w:rPr>
          <w:i/>
          <w:iCs/>
        </w:rPr>
        <w:t>87</w:t>
      </w:r>
      <w:r>
        <w:t xml:space="preserve">(6), 532–552. </w:t>
      </w:r>
      <w:hyperlink r:id="rId43">
        <w:r>
          <w:rPr>
            <w:rStyle w:val="Hyperlink"/>
          </w:rPr>
          <w:t>https://doi.org/10.1037/0033-295X.87.6.532</w:t>
        </w:r>
      </w:hyperlink>
    </w:p>
    <w:p w14:paraId="48E380B0" w14:textId="77777777" w:rsidR="00C908CA" w:rsidRDefault="00000000">
      <w:pPr>
        <w:pStyle w:val="Bibliography"/>
      </w:pPr>
      <w:bookmarkStart w:id="71" w:name="ref-pearcePredictiveAccuracyStimulus1982"/>
      <w:bookmarkEnd w:id="70"/>
      <w:r>
        <w:t xml:space="preserve">Pearce, J. M., Kaye, H., &amp; Hall, G. (1982). Predictive accuracy and stimulus associability: Development of a model for Pavlovian conditioning. In M. Commons, R. Herrnstein, &amp; A. R. Wagner (Eds.), </w:t>
      </w:r>
      <w:r>
        <w:rPr>
          <w:i/>
          <w:iCs/>
        </w:rPr>
        <w:t>Quantitative analysis of behavior</w:t>
      </w:r>
      <w:r>
        <w:t xml:space="preserve"> (pp. 241–255). Ballinger.</w:t>
      </w:r>
    </w:p>
    <w:p w14:paraId="5ACCA9D1" w14:textId="77777777" w:rsidR="00C908CA" w:rsidRDefault="00000000">
      <w:pPr>
        <w:pStyle w:val="Bibliography"/>
      </w:pPr>
      <w:bookmarkStart w:id="72" w:name="ref-pearceTwoTheoriesAttention2010"/>
      <w:bookmarkEnd w:id="71"/>
      <w:r>
        <w:lastRenderedPageBreak/>
        <w:t xml:space="preserve">Pearce, J. M., &amp; Mackintosh, N. J. (2010). Two theories of attention: A review and a possible integration. In C. J. Mitchell &amp; M. E. Le Pelley (Eds.), </w:t>
      </w:r>
      <w:r>
        <w:rPr>
          <w:i/>
          <w:iCs/>
        </w:rPr>
        <w:t>Attention and Associative Learning: From Brain to Behaviours</w:t>
      </w:r>
      <w:r>
        <w:t xml:space="preserve"> (pp. 11–39). Oxford University Press.</w:t>
      </w:r>
    </w:p>
    <w:p w14:paraId="789B9482" w14:textId="77777777" w:rsidR="00C908CA" w:rsidRDefault="00000000">
      <w:pPr>
        <w:pStyle w:val="Bibliography"/>
      </w:pPr>
      <w:bookmarkStart w:id="73" w:name="Xbbc100c68483f96c48b8662a8ebad22a1578ea2"/>
      <w:bookmarkEnd w:id="72"/>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 xml:space="preserve">(1), 195–203. </w:t>
      </w:r>
      <w:hyperlink r:id="rId44">
        <w:r>
          <w:rPr>
            <w:rStyle w:val="Hyperlink"/>
          </w:rPr>
          <w:t>https://doi.org/10.3758/s13428-018-01193-y</w:t>
        </w:r>
      </w:hyperlink>
    </w:p>
    <w:p w14:paraId="039D3A6A" w14:textId="77777777" w:rsidR="00C908CA" w:rsidRDefault="00000000">
      <w:pPr>
        <w:pStyle w:val="Bibliography"/>
      </w:pPr>
      <w:bookmarkStart w:id="74" w:name="Xed860d95052771f082df31e61cb75b3b779bab2"/>
      <w:bookmarkEnd w:id="73"/>
      <w:r>
        <w:t xml:space="preserve">Rescorla, R., &amp; Wagner, A. R. (1972). A theory of Pavlovian conditioning : Variations in the effectiveness of reinforcement and nonreinforcement. In A. H. Black &amp; W. F. Prokasy (Eds.), </w:t>
      </w:r>
      <w:r>
        <w:rPr>
          <w:i/>
          <w:iCs/>
        </w:rPr>
        <w:t>Classical Conditioning II: Current Theory and Research</w:t>
      </w:r>
      <w:r>
        <w:t xml:space="preserve"> (pp. 64–99). Appleton-Century-Crofts. </w:t>
      </w:r>
      <w:hyperlink r:id="rId45">
        <w:r>
          <w:rPr>
            <w:rStyle w:val="Hyperlink"/>
          </w:rPr>
          <w:t>https://www.semanticscholar.org/paper/A-theory-of-Pavlovian-conditioning-%3A-Variations-in-Rescorla-Wagner/afaf65883ff75cc19926f61f181a687927789ad1</w:t>
        </w:r>
      </w:hyperlink>
    </w:p>
    <w:p w14:paraId="41D6994C" w14:textId="77777777" w:rsidR="00C908CA" w:rsidRDefault="00000000">
      <w:pPr>
        <w:pStyle w:val="Bibliography"/>
      </w:pPr>
      <w:bookmarkStart w:id="75" w:name="ref-schmajukLatentInhibitionNeural1996"/>
      <w:bookmarkEnd w:id="74"/>
      <w:proofErr w:type="spellStart"/>
      <w:r w:rsidRPr="00D56862">
        <w:rPr>
          <w:lang w:val="de-DE"/>
        </w:rPr>
        <w:t>Schmajuk</w:t>
      </w:r>
      <w:proofErr w:type="spellEnd"/>
      <w:r w:rsidRPr="00D56862">
        <w:rPr>
          <w:lang w:val="de-DE"/>
        </w:rPr>
        <w:t xml:space="preserve">, N. A., Lam, Y.-W., &amp; Gray, J. A. (1996). </w:t>
      </w:r>
      <w:r>
        <w:t xml:space="preserve">Latent inhibition: A neural network approach. </w:t>
      </w:r>
      <w:r>
        <w:rPr>
          <w:i/>
          <w:iCs/>
        </w:rPr>
        <w:t>Journal of Experimental Psychology: Animal Behavior Processes</w:t>
      </w:r>
      <w:r>
        <w:t xml:space="preserve">, </w:t>
      </w:r>
      <w:r>
        <w:rPr>
          <w:i/>
          <w:iCs/>
        </w:rPr>
        <w:t>22</w:t>
      </w:r>
      <w:r>
        <w:t xml:space="preserve">(3), 321–349. </w:t>
      </w:r>
      <w:hyperlink r:id="rId46">
        <w:r>
          <w:rPr>
            <w:rStyle w:val="Hyperlink"/>
          </w:rPr>
          <w:t>https://doi.org/10.1037/0097-7403.22.3.321</w:t>
        </w:r>
      </w:hyperlink>
    </w:p>
    <w:p w14:paraId="60C3D991" w14:textId="77777777" w:rsidR="00C908CA" w:rsidRDefault="00000000">
      <w:pPr>
        <w:pStyle w:val="Bibliography"/>
      </w:pPr>
      <w:bookmarkStart w:id="76" w:name="ref-simonsGorillasOurMidst1999"/>
      <w:bookmarkEnd w:id="75"/>
      <w:r w:rsidRPr="00D56862">
        <w:rPr>
          <w:lang w:val="fr-FR"/>
        </w:rPr>
        <w:t xml:space="preserve">Simons, D. J., &amp; Chabris, C. F. (1999). </w:t>
      </w:r>
      <w:r>
        <w:t xml:space="preserve">Gorillas in Our Midst: Sustained Inattentional Blindness for Dynamic Events. </w:t>
      </w:r>
      <w:r>
        <w:rPr>
          <w:i/>
          <w:iCs/>
        </w:rPr>
        <w:t>Perception</w:t>
      </w:r>
      <w:r>
        <w:t xml:space="preserve">, </w:t>
      </w:r>
      <w:r>
        <w:rPr>
          <w:i/>
          <w:iCs/>
        </w:rPr>
        <w:t>28</w:t>
      </w:r>
      <w:r>
        <w:t xml:space="preserve">(9), 1059–1074. </w:t>
      </w:r>
      <w:hyperlink r:id="rId47">
        <w:r>
          <w:rPr>
            <w:rStyle w:val="Hyperlink"/>
          </w:rPr>
          <w:t>https://doi.org/10.1068/p281059</w:t>
        </w:r>
      </w:hyperlink>
    </w:p>
    <w:p w14:paraId="547E6B2A" w14:textId="77777777" w:rsidR="00C908CA" w:rsidRDefault="00000000">
      <w:pPr>
        <w:pStyle w:val="Bibliography"/>
      </w:pPr>
      <w:bookmarkStart w:id="77" w:name="ref-spicerTheoryProtectionHumans2022"/>
      <w:bookmarkEnd w:id="76"/>
      <w:r>
        <w:t xml:space="preserve">Spicer, S. G., Mitchell, C. J., Wills, A. J., Blake, K. L., &amp; Jones, P. M. (2022). Theory protection: Do humans protect existing associative links? </w:t>
      </w:r>
      <w:r>
        <w:rPr>
          <w:i/>
          <w:iCs/>
        </w:rPr>
        <w:t>Journal of Experimental Psychology: Animal Learning and Cognition</w:t>
      </w:r>
      <w:r>
        <w:t xml:space="preserve">, </w:t>
      </w:r>
      <w:r>
        <w:rPr>
          <w:i/>
          <w:iCs/>
        </w:rPr>
        <w:t>48</w:t>
      </w:r>
      <w:r>
        <w:t xml:space="preserve">(1), 1–16. </w:t>
      </w:r>
      <w:hyperlink r:id="rId48">
        <w:r>
          <w:rPr>
            <w:rStyle w:val="Hyperlink"/>
          </w:rPr>
          <w:t>https://doi.org/10.1037/xan0000314</w:t>
        </w:r>
      </w:hyperlink>
    </w:p>
    <w:p w14:paraId="10E1FBC8" w14:textId="77777777" w:rsidR="00C908CA" w:rsidRDefault="00000000">
      <w:pPr>
        <w:pStyle w:val="Bibliography"/>
      </w:pPr>
      <w:bookmarkStart w:id="78" w:name="X41e53b9a38f956825671e4464aca419d40dec15"/>
      <w:bookmarkEnd w:id="77"/>
      <w:r>
        <w:t xml:space="preserve">Spicer, S. G., Mitchell, C. J., Wills, A. J., &amp; Jones, P. M. (2020). Theory protection in associative learning: Humans maintain certain beliefs in a manner that violates prediction </w:t>
      </w:r>
      <w:r>
        <w:lastRenderedPageBreak/>
        <w:t xml:space="preserve">error. </w:t>
      </w:r>
      <w:r>
        <w:rPr>
          <w:i/>
          <w:iCs/>
        </w:rPr>
        <w:t>Journal of Experimental Psychology: Animal Learning and Cognition</w:t>
      </w:r>
      <w:r>
        <w:t xml:space="preserve">, </w:t>
      </w:r>
      <w:r>
        <w:rPr>
          <w:i/>
          <w:iCs/>
        </w:rPr>
        <w:t>46</w:t>
      </w:r>
      <w:r>
        <w:t xml:space="preserve">(2), 151–161. </w:t>
      </w:r>
      <w:hyperlink r:id="rId49">
        <w:r>
          <w:rPr>
            <w:rStyle w:val="Hyperlink"/>
          </w:rPr>
          <w:t>https://doi.org/10.1037/xan0000225</w:t>
        </w:r>
      </w:hyperlink>
    </w:p>
    <w:p w14:paraId="4884F31C" w14:textId="77777777" w:rsidR="00C908CA" w:rsidRDefault="00000000">
      <w:pPr>
        <w:pStyle w:val="Bibliography"/>
      </w:pPr>
      <w:bookmarkStart w:id="79" w:name="ref-positteamRStudio2024"/>
      <w:bookmarkEnd w:id="78"/>
      <w:r>
        <w:t xml:space="preserve">team, P. (2024). </w:t>
      </w:r>
      <w:r>
        <w:rPr>
          <w:i/>
          <w:iCs/>
        </w:rPr>
        <w:t>RStudio</w:t>
      </w:r>
      <w:r>
        <w:t xml:space="preserve"> (Version 2023.12.1.402) [Computer software].</w:t>
      </w:r>
    </w:p>
    <w:p w14:paraId="2F6F4FA4" w14:textId="77777777" w:rsidR="00C908CA" w:rsidRDefault="00000000">
      <w:pPr>
        <w:pStyle w:val="Bibliography"/>
      </w:pPr>
      <w:bookmarkStart w:id="80" w:name="X9908c3c11d2ce7c45992bd046a78b3587daa4e5"/>
      <w:bookmarkEnd w:id="79"/>
      <w:r>
        <w:t xml:space="preserve">Team, R. C. (2023). </w:t>
      </w:r>
      <w:r>
        <w:rPr>
          <w:i/>
          <w:iCs/>
        </w:rPr>
        <w:t>R: A language and environment for statistical computing</w:t>
      </w:r>
      <w:r>
        <w:t xml:space="preserve"> (Version 4.3.3) [Computer software]. R Foundation for Statistical Computing. </w:t>
      </w:r>
      <w:hyperlink r:id="rId50">
        <w:r>
          <w:rPr>
            <w:rStyle w:val="Hyperlink"/>
          </w:rPr>
          <w:t>https://www.gbif.org/tool/81287/r-a-language-and-environment-for-statistical-computing</w:t>
        </w:r>
      </w:hyperlink>
    </w:p>
    <w:p w14:paraId="5C4F1194" w14:textId="77777777" w:rsidR="00C908CA" w:rsidRPr="00D56862" w:rsidRDefault="00000000">
      <w:pPr>
        <w:pStyle w:val="Bibliography"/>
        <w:rPr>
          <w:lang w:val="de-DE"/>
        </w:rPr>
      </w:pPr>
      <w:bookmarkStart w:id="81" w:name="Xfcc8b3eec36c5eaa9e34fcb2c5a4466abd08553"/>
      <w:bookmarkEnd w:id="80"/>
      <w:r w:rsidRPr="00D56862">
        <w:rPr>
          <w:lang w:val="de-DE"/>
        </w:rPr>
        <w:t xml:space="preserve">Torrents-Rodas, D., </w:t>
      </w:r>
      <w:proofErr w:type="spellStart"/>
      <w:r w:rsidRPr="00D56862">
        <w:rPr>
          <w:lang w:val="de-DE"/>
        </w:rPr>
        <w:t>Koenig</w:t>
      </w:r>
      <w:proofErr w:type="spellEnd"/>
      <w:r w:rsidRPr="00D56862">
        <w:rPr>
          <w:lang w:val="de-DE"/>
        </w:rPr>
        <w:t xml:space="preserve">, S., </w:t>
      </w:r>
      <w:proofErr w:type="spellStart"/>
      <w:r w:rsidRPr="00D56862">
        <w:rPr>
          <w:lang w:val="de-DE"/>
        </w:rPr>
        <w:t>Uengoer</w:t>
      </w:r>
      <w:proofErr w:type="spellEnd"/>
      <w:r w:rsidRPr="00D56862">
        <w:rPr>
          <w:lang w:val="de-DE"/>
        </w:rPr>
        <w:t xml:space="preserve">, M., &amp; </w:t>
      </w:r>
      <w:proofErr w:type="spellStart"/>
      <w:r w:rsidRPr="00D56862">
        <w:rPr>
          <w:lang w:val="de-DE"/>
        </w:rPr>
        <w:t>Lachnit</w:t>
      </w:r>
      <w:proofErr w:type="spellEnd"/>
      <w:r w:rsidRPr="00D56862">
        <w:rPr>
          <w:lang w:val="de-DE"/>
        </w:rPr>
        <w:t xml:space="preserve">, H. (2021). </w:t>
      </w:r>
      <w:r>
        <w:t xml:space="preserve">Evidence for two attentional mechanisms during learning. </w:t>
      </w:r>
      <w:r>
        <w:rPr>
          <w:i/>
          <w:iCs/>
        </w:rPr>
        <w:t>Quarterly Journal of Experimental Psychology</w:t>
      </w:r>
      <w:r>
        <w:t xml:space="preserve">, </w:t>
      </w:r>
      <w:r>
        <w:rPr>
          <w:i/>
          <w:iCs/>
        </w:rPr>
        <w:t>74</w:t>
      </w:r>
      <w:r>
        <w:t xml:space="preserve">(12), 2112–2123. </w:t>
      </w:r>
      <w:hyperlink r:id="rId51">
        <w:r w:rsidRPr="00D56862">
          <w:rPr>
            <w:rStyle w:val="Hyperlink"/>
            <w:lang w:val="de-DE"/>
          </w:rPr>
          <w:t>https://doi.org/10.1177/17470218211019308</w:t>
        </w:r>
      </w:hyperlink>
    </w:p>
    <w:p w14:paraId="60625426" w14:textId="77777777" w:rsidR="00C908CA" w:rsidRDefault="00000000">
      <w:pPr>
        <w:pStyle w:val="Bibliography"/>
      </w:pPr>
      <w:bookmarkStart w:id="82" w:name="X26919fe41897ac8cbcb0b7922f0d0d61d4d1ade"/>
      <w:bookmarkEnd w:id="81"/>
      <w:r w:rsidRPr="00D56862">
        <w:rPr>
          <w:lang w:val="de-DE"/>
        </w:rPr>
        <w:t xml:space="preserve">Torrents-Rodas, D., </w:t>
      </w:r>
      <w:proofErr w:type="spellStart"/>
      <w:r w:rsidRPr="00D56862">
        <w:rPr>
          <w:lang w:val="de-DE"/>
        </w:rPr>
        <w:t>Koenig</w:t>
      </w:r>
      <w:proofErr w:type="spellEnd"/>
      <w:r w:rsidRPr="00D56862">
        <w:rPr>
          <w:lang w:val="de-DE"/>
        </w:rPr>
        <w:t xml:space="preserve">, S., </w:t>
      </w:r>
      <w:proofErr w:type="spellStart"/>
      <w:r w:rsidRPr="00D56862">
        <w:rPr>
          <w:lang w:val="de-DE"/>
        </w:rPr>
        <w:t>Uengoer</w:t>
      </w:r>
      <w:proofErr w:type="spellEnd"/>
      <w:r w:rsidRPr="00D56862">
        <w:rPr>
          <w:lang w:val="de-DE"/>
        </w:rPr>
        <w:t xml:space="preserve">, M., &amp; </w:t>
      </w:r>
      <w:proofErr w:type="spellStart"/>
      <w:r w:rsidRPr="00D56862">
        <w:rPr>
          <w:lang w:val="de-DE"/>
        </w:rPr>
        <w:t>Lachnit</w:t>
      </w:r>
      <w:proofErr w:type="spellEnd"/>
      <w:r w:rsidRPr="00D56862">
        <w:rPr>
          <w:lang w:val="de-DE"/>
        </w:rPr>
        <w:t xml:space="preserve">, H. (2023). </w:t>
      </w:r>
      <w:r>
        <w:t xml:space="preserve">The effect of prediction error on overt attention and learning in humans. </w:t>
      </w:r>
      <w:r>
        <w:rPr>
          <w:i/>
          <w:iCs/>
        </w:rPr>
        <w:t>Behavioural Processes</w:t>
      </w:r>
      <w:r>
        <w:t xml:space="preserve">, </w:t>
      </w:r>
      <w:r>
        <w:rPr>
          <w:i/>
          <w:iCs/>
        </w:rPr>
        <w:t>206</w:t>
      </w:r>
      <w:r>
        <w:t xml:space="preserve">, 104843. </w:t>
      </w:r>
      <w:hyperlink r:id="rId52">
        <w:r>
          <w:rPr>
            <w:rStyle w:val="Hyperlink"/>
          </w:rPr>
          <w:t>https://doi.org/10.1016/j.beproc.2023.104843</w:t>
        </w:r>
      </w:hyperlink>
    </w:p>
    <w:p w14:paraId="37431989" w14:textId="77777777" w:rsidR="00C908CA" w:rsidRDefault="00000000">
      <w:pPr>
        <w:pStyle w:val="Bibliography"/>
      </w:pPr>
      <w:bookmarkStart w:id="83" w:name="ref-walkerRoleUncertaintyAttentional2019"/>
      <w:bookmarkEnd w:id="82"/>
      <w:r>
        <w:t xml:space="preserve">Walker, A. R., Luque, D., Le Pelley, M. E., &amp; Beesley, T. (2019). The role of uncertainty in attentional and choice exploration. </w:t>
      </w:r>
      <w:r>
        <w:rPr>
          <w:i/>
          <w:iCs/>
        </w:rPr>
        <w:t>Psychonomic Bulletin &amp; Review</w:t>
      </w:r>
      <w:r>
        <w:t xml:space="preserve">, </w:t>
      </w:r>
      <w:r>
        <w:rPr>
          <w:i/>
          <w:iCs/>
        </w:rPr>
        <w:t>26</w:t>
      </w:r>
      <w:r>
        <w:t xml:space="preserve">(6), 1911–1916. </w:t>
      </w:r>
      <w:hyperlink r:id="rId53">
        <w:r>
          <w:rPr>
            <w:rStyle w:val="Hyperlink"/>
          </w:rPr>
          <w:t>https://doi.org/10.3758/s13423-019-01653-2</w:t>
        </w:r>
      </w:hyperlink>
    </w:p>
    <w:p w14:paraId="24376D8B" w14:textId="77777777" w:rsidR="00C908CA" w:rsidRDefault="00000000">
      <w:pPr>
        <w:pStyle w:val="Bibliography"/>
      </w:pPr>
      <w:bookmarkStart w:id="84" w:name="Xff63290c98892f5cce55263c5c57f1781879f5f"/>
      <w:bookmarkEnd w:id="83"/>
      <w:r>
        <w:t xml:space="preserve">Walker, A. R., Navarro, D. J., Newell, B. R., &amp; Beesley, T. (2022). Protection from uncertainty in the exploration/exploitation trade-off. </w:t>
      </w:r>
      <w:r>
        <w:rPr>
          <w:i/>
          <w:iCs/>
        </w:rPr>
        <w:t>Journal of Experimental Psychology: Learning, Memory, and Cognition</w:t>
      </w:r>
      <w:r>
        <w:t xml:space="preserve">, </w:t>
      </w:r>
      <w:r>
        <w:rPr>
          <w:i/>
          <w:iCs/>
        </w:rPr>
        <w:t>48</w:t>
      </w:r>
      <w:r>
        <w:t xml:space="preserve">, 547–568. </w:t>
      </w:r>
      <w:hyperlink r:id="rId54">
        <w:r>
          <w:rPr>
            <w:rStyle w:val="Hyperlink"/>
          </w:rPr>
          <w:t>https://doi.org/10.1037/xlm0000883</w:t>
        </w:r>
      </w:hyperlink>
    </w:p>
    <w:p w14:paraId="7D723FFD" w14:textId="77777777" w:rsidR="00C908CA" w:rsidRDefault="00000000">
      <w:pPr>
        <w:pStyle w:val="Heading1"/>
      </w:pPr>
      <w:bookmarkStart w:id="85" w:name="appendix-i"/>
      <w:bookmarkEnd w:id="44"/>
      <w:bookmarkEnd w:id="46"/>
      <w:bookmarkEnd w:id="84"/>
      <w:r>
        <w:t>Appendix I</w:t>
      </w:r>
    </w:p>
    <w:p w14:paraId="230DCC97" w14:textId="77777777" w:rsidR="00C908CA" w:rsidRDefault="00000000">
      <w:pPr>
        <w:pStyle w:val="FirstParagraph"/>
      </w:pPr>
      <w:r>
        <w:t xml:space="preserve">The four sets of images from which the cues and foils displayed in the experiment were randomly selected can be seen in </w:t>
      </w:r>
      <w:hyperlink w:anchor="fig-cues_and_foils">
        <w:r>
          <w:rPr>
            <w:rStyle w:val="Hyperlink"/>
          </w:rPr>
          <w:t>Figure 11</w:t>
        </w:r>
      </w:hyperlink>
      <w:r>
        <w:t>.</w:t>
      </w:r>
    </w:p>
    <w:p w14:paraId="636E841C" w14:textId="77777777" w:rsidR="00C908CA" w:rsidRDefault="00000000">
      <w:pPr>
        <w:pStyle w:val="FigureTitle"/>
      </w:pPr>
      <w:bookmarkStart w:id="86" w:name="fig-cues_and_foils"/>
      <w:r>
        <w:lastRenderedPageBreak/>
        <w:t>Figure 11</w:t>
      </w:r>
    </w:p>
    <w:p w14:paraId="21CF1C69" w14:textId="77777777" w:rsidR="00C908CA" w:rsidRDefault="00000000">
      <w:pPr>
        <w:pStyle w:val="Caption"/>
      </w:pPr>
      <w:r>
        <w:t>Cues and foils used in Experiment 1.</w:t>
      </w:r>
    </w:p>
    <w:p w14:paraId="2181B3C0" w14:textId="77777777" w:rsidR="00C908CA" w:rsidRDefault="00000000">
      <w:pPr>
        <w:pStyle w:val="FigureWithoutNote"/>
      </w:pPr>
      <w:r>
        <w:rPr>
          <w:noProof/>
        </w:rPr>
        <w:drawing>
          <wp:inline distT="0" distB="0" distL="0" distR="0" wp14:anchorId="20DFF2D0" wp14:editId="4A72DADF">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5"/>
                    <a:stretch>
                      <a:fillRect/>
                    </a:stretch>
                  </pic:blipFill>
                  <pic:spPr bwMode="auto">
                    <a:xfrm>
                      <a:off x="0" y="0"/>
                      <a:ext cx="5943600" cy="3241963"/>
                    </a:xfrm>
                    <a:prstGeom prst="rect">
                      <a:avLst/>
                    </a:prstGeom>
                    <a:noFill/>
                    <a:ln w="9525">
                      <a:noFill/>
                      <a:headEnd/>
                      <a:tailEnd/>
                    </a:ln>
                  </pic:spPr>
                </pic:pic>
              </a:graphicData>
            </a:graphic>
          </wp:inline>
        </w:drawing>
      </w:r>
    </w:p>
    <w:bookmarkEnd w:id="86"/>
    <w:p w14:paraId="07D98ACB" w14:textId="77777777" w:rsidR="00C908CA" w:rsidRDefault="00000000">
      <w:pPr>
        <w:pStyle w:val="AfterWithoutNote"/>
      </w:pPr>
      <w:r>
        <w:t xml:space="preserve">The two images used as outcomes in these experiments can be seen in </w:t>
      </w:r>
      <w:hyperlink w:anchor="fig-outcomes">
        <w:r>
          <w:rPr>
            <w:rStyle w:val="Hyperlink"/>
          </w:rPr>
          <w:t>Figure 12</w:t>
        </w:r>
      </w:hyperlink>
      <w:r>
        <w:t>.</w:t>
      </w:r>
    </w:p>
    <w:p w14:paraId="3FAE5082" w14:textId="77777777" w:rsidR="00C908CA" w:rsidRDefault="00000000">
      <w:pPr>
        <w:pStyle w:val="FigureTitle"/>
      </w:pPr>
      <w:bookmarkStart w:id="87" w:name="fig-outcomes"/>
      <w:r>
        <w:lastRenderedPageBreak/>
        <w:t>Figure 12</w:t>
      </w:r>
    </w:p>
    <w:p w14:paraId="1D535F00" w14:textId="77777777" w:rsidR="00C908CA" w:rsidRDefault="00000000">
      <w:pPr>
        <w:pStyle w:val="Caption"/>
      </w:pPr>
      <w:r>
        <w:t>Outcomes used in all experiments.</w:t>
      </w:r>
    </w:p>
    <w:p w14:paraId="22703953" w14:textId="77777777" w:rsidR="00C908CA" w:rsidRDefault="00000000">
      <w:pPr>
        <w:pStyle w:val="FigureWithoutNote"/>
      </w:pPr>
      <w:r>
        <w:rPr>
          <w:noProof/>
        </w:rPr>
        <w:drawing>
          <wp:inline distT="0" distB="0" distL="0" distR="0" wp14:anchorId="33437787" wp14:editId="3E4D39B4">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6"/>
                    <a:stretch>
                      <a:fillRect/>
                    </a:stretch>
                  </pic:blipFill>
                  <pic:spPr bwMode="auto">
                    <a:xfrm>
                      <a:off x="0" y="0"/>
                      <a:ext cx="5943600" cy="3697688"/>
                    </a:xfrm>
                    <a:prstGeom prst="rect">
                      <a:avLst/>
                    </a:prstGeom>
                    <a:noFill/>
                    <a:ln w="9525">
                      <a:noFill/>
                      <a:headEnd/>
                      <a:tailEnd/>
                    </a:ln>
                  </pic:spPr>
                </pic:pic>
              </a:graphicData>
            </a:graphic>
          </wp:inline>
        </w:drawing>
      </w:r>
      <w:bookmarkEnd w:id="85"/>
      <w:bookmarkEnd w:id="87"/>
    </w:p>
    <w:sectPr w:rsidR="00C908CA">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D1CF9" w14:textId="77777777" w:rsidR="007545B3" w:rsidRDefault="007545B3">
      <w:pPr>
        <w:spacing w:line="240" w:lineRule="auto"/>
      </w:pPr>
      <w:r>
        <w:separator/>
      </w:r>
    </w:p>
  </w:endnote>
  <w:endnote w:type="continuationSeparator" w:id="0">
    <w:p w14:paraId="1C76AF98" w14:textId="77777777" w:rsidR="007545B3" w:rsidRDefault="007545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79D43"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B2541"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3C6B6"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ECB955" w14:textId="77777777" w:rsidR="007545B3" w:rsidRDefault="007545B3">
      <w:r>
        <w:separator/>
      </w:r>
    </w:p>
  </w:footnote>
  <w:footnote w:type="continuationSeparator" w:id="0">
    <w:p w14:paraId="3A395C6B" w14:textId="77777777" w:rsidR="007545B3" w:rsidRDefault="007545B3">
      <w:r>
        <w:continuationSeparator/>
      </w:r>
    </w:p>
  </w:footnote>
  <w:footnote w:id="1">
    <w:p w14:paraId="05939478" w14:textId="77777777" w:rsidR="00C908CA" w:rsidRDefault="00000000">
      <w:pPr>
        <w:pStyle w:val="FootnoteText"/>
      </w:pPr>
      <w:r>
        <w:rPr>
          <w:rStyle w:val="FootnoteReference"/>
        </w:rPr>
        <w:footnoteRef/>
      </w:r>
      <w:r>
        <w:t xml:space="preserve"> It should be noted that this result has proved difficult to reproduce (see Le Pelley et al., 2016).</w:t>
      </w:r>
    </w:p>
  </w:footnote>
  <w:footnote w:id="2">
    <w:p w14:paraId="09B3825C" w14:textId="77777777" w:rsidR="00C908CA" w:rsidRDefault="00000000">
      <w:pPr>
        <w:pStyle w:val="FootnoteText"/>
      </w:pPr>
      <w:r>
        <w:rPr>
          <w:rStyle w:val="FootnoteReference"/>
        </w:rPr>
        <w:footnoteRef/>
      </w:r>
      <w:r>
        <w:t xml:space="preserve"> The critical interaction effect reported in the results section is significant without the application of this exclusion criterion.</w:t>
      </w:r>
    </w:p>
  </w:footnote>
  <w:footnote w:id="3">
    <w:p w14:paraId="469CB0D4" w14:textId="77777777" w:rsidR="00C908CA" w:rsidRDefault="00000000">
      <w:pPr>
        <w:pStyle w:val="FootnoteText"/>
      </w:pPr>
      <w:r>
        <w:rPr>
          <w:rStyle w:val="FootnoteReference"/>
        </w:rPr>
        <w:footnoteRef/>
      </w:r>
      <w:r>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DAAB6"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735E" w14:textId="77777777" w:rsidR="00000000"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D56862">
          <w:t>EFFECTS OF UNCERTAINTY ON CUE PROCESSING</w:t>
        </w:r>
      </w:sdtContent>
    </w:sdt>
    <w:r>
      <w:tab/>
    </w:r>
    <w:r>
      <w:fldChar w:fldCharType="begin"/>
    </w:r>
    <w:r>
      <w:instrText xml:space="preserve"> PAGE   \* MERGEFORMAT </w:instrText>
    </w:r>
    <w:r>
      <w:fldChar w:fldCharType="separate"/>
    </w:r>
    <w:r>
      <w:rPr>
        <w:noProof/>
      </w:rPr>
      <w:t>1</w:t>
    </w:r>
    <w:r>
      <w:rPr>
        <w:noProof/>
      </w:rPr>
      <w:fldChar w:fldCharType="end"/>
    </w:r>
  </w:p>
  <w:p w14:paraId="127BBEB5"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C6DD"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48A51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841697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8CA"/>
    <w:rsid w:val="0052279D"/>
    <w:rsid w:val="007545B3"/>
    <w:rsid w:val="00A36A8D"/>
    <w:rsid w:val="00C908CA"/>
    <w:rsid w:val="00D56862"/>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D1DAC"/>
  <w15:docId w15:val="{FD5EDAB7-8B88-4BA6-9A9E-D2C7E6F0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D5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93/brain/121.7.1239" TargetMode="External"/><Relationship Id="rId39" Type="http://schemas.openxmlformats.org/officeDocument/2006/relationships/hyperlink" Target="https://psycnet.apa.org/doi/10.1037/a0033700"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80/02724990344000141" TargetMode="External"/><Relationship Id="rId42" Type="http://schemas.openxmlformats.org/officeDocument/2006/relationships/hyperlink" Target="https://doi.org/10.1038/nn1663" TargetMode="External"/><Relationship Id="rId47" Type="http://schemas.openxmlformats.org/officeDocument/2006/relationships/hyperlink" Target="https://doi.org/10.1068/p281059" TargetMode="External"/><Relationship Id="rId50" Type="http://schemas.openxmlformats.org/officeDocument/2006/relationships/hyperlink" Target="https://www.gbif.org/tool/81287/r-a-language-and-environment-for-statistical-computing" TargetMode="Externa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80/17470218.2017.1339719" TargetMode="External"/><Relationship Id="rId11" Type="http://schemas.openxmlformats.org/officeDocument/2006/relationships/image" Target="media/image5.png"/><Relationship Id="rId24" Type="http://schemas.openxmlformats.org/officeDocument/2006/relationships/hyperlink" Target="https://doi.org/10.1080/17470218.2017.1363257" TargetMode="External"/><Relationship Id="rId32" Type="http://schemas.openxmlformats.org/officeDocument/2006/relationships/hyperlink" Target="https://doi.org/10.1006/jmps.2000.1354" TargetMode="External"/><Relationship Id="rId37" Type="http://schemas.openxmlformats.org/officeDocument/2006/relationships/hyperlink" Target="https://doi.org/10.1080/02724990244000179" TargetMode="External"/><Relationship Id="rId40" Type="http://schemas.openxmlformats.org/officeDocument/2006/relationships/hyperlink" Target="https://doi.org/10.1080/17470218.2016.1188407" TargetMode="External"/><Relationship Id="rId45" Type="http://schemas.openxmlformats.org/officeDocument/2006/relationships/hyperlink" Target="https://www.semanticscholar.org/paper/A-theory-of-Pavlovian-conditioning-%3A-Variations-in-Rescorla-Wagner/afaf65883ff75cc19926f61f181a687927789ad1" TargetMode="External"/><Relationship Id="rId53" Type="http://schemas.openxmlformats.org/officeDocument/2006/relationships/hyperlink" Target="https://doi.org/10.3758/s13423-019-01653-2"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hyperlink" Target="https://doi.org/10.1080/17470218.2015.1009919" TargetMode="External"/><Relationship Id="rId14" Type="http://schemas.openxmlformats.org/officeDocument/2006/relationships/image" Target="media/image8.png"/><Relationship Id="rId22" Type="http://schemas.openxmlformats.org/officeDocument/2006/relationships/hyperlink" Target="https://doi.org/10.1016/S0022-5371(72)80001-X" TargetMode="External"/><Relationship Id="rId27" Type="http://schemas.openxmlformats.org/officeDocument/2006/relationships/hyperlink" Target="https://doi.org/10.1177/0956797611419305" TargetMode="External"/><Relationship Id="rId30" Type="http://schemas.openxmlformats.org/officeDocument/2006/relationships/hyperlink" Target="https://doi.org/10.1037/0278-7393.24.6.1437" TargetMode="External"/><Relationship Id="rId35" Type="http://schemas.openxmlformats.org/officeDocument/2006/relationships/hyperlink" Target="https://doi.org/10.1037/a0021384" TargetMode="External"/><Relationship Id="rId43" Type="http://schemas.openxmlformats.org/officeDocument/2006/relationships/hyperlink" Target="https://doi.org/10.1037/0033-295X.87.6.532" TargetMode="External"/><Relationship Id="rId48" Type="http://schemas.openxmlformats.org/officeDocument/2006/relationships/hyperlink" Target="https://doi.org/10.1037/xan0000314"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hyperlink" Target="https://doi.org/10.1177/1747021821101930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98/rspb.2011.0836" TargetMode="External"/><Relationship Id="rId33" Type="http://schemas.openxmlformats.org/officeDocument/2006/relationships/hyperlink" Target="https://doi.org/10.1111/1467-8721.01254" TargetMode="External"/><Relationship Id="rId38" Type="http://schemas.openxmlformats.org/officeDocument/2006/relationships/hyperlink" Target="https://doi.org/10.1037/bul0000064" TargetMode="External"/><Relationship Id="rId46" Type="http://schemas.openxmlformats.org/officeDocument/2006/relationships/hyperlink" Target="https://doi.org/10.1037/0097-7403.22.3.321" TargetMode="External"/><Relationship Id="rId59" Type="http://schemas.openxmlformats.org/officeDocument/2006/relationships/footer" Target="footer1.xml"/><Relationship Id="rId20" Type="http://schemas.openxmlformats.org/officeDocument/2006/relationships/hyperlink" Target="https://doi.org/10.1038/nn1954" TargetMode="External"/><Relationship Id="rId41" Type="http://schemas.openxmlformats.org/officeDocument/2006/relationships/hyperlink" Target="https://doi.org/10.1037/h0076778" TargetMode="External"/><Relationship Id="rId54" Type="http://schemas.openxmlformats.org/officeDocument/2006/relationships/hyperlink" Target="https://doi.org/10.1037/xlm0000883"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37/0096-3445.104.3.268" TargetMode="External"/><Relationship Id="rId28" Type="http://schemas.openxmlformats.org/officeDocument/2006/relationships/hyperlink" Target="https://doi.org/10.1037/a0013685" TargetMode="External"/><Relationship Id="rId36" Type="http://schemas.openxmlformats.org/officeDocument/2006/relationships/hyperlink" Target="https://doi.org/10.3758/s13420-012-0084-4" TargetMode="External"/><Relationship Id="rId49" Type="http://schemas.openxmlformats.org/officeDocument/2006/relationships/hyperlink" Target="https://doi.org/10.1037/xan0000225"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www.frontiersin.org/articles/10.3389/fnbeh.2017.00128" TargetMode="External"/><Relationship Id="rId44" Type="http://schemas.openxmlformats.org/officeDocument/2006/relationships/hyperlink" Target="https://doi.org/10.3758/s13428-018-01193-y" TargetMode="External"/><Relationship Id="rId52" Type="http://schemas.openxmlformats.org/officeDocument/2006/relationships/hyperlink" Target="https://doi.org/10.1016/j.beproc.2023.104843"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13114</Words>
  <Characters>74751</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9</cp:revision>
  <dcterms:created xsi:type="dcterms:W3CDTF">2024-10-01T08:37:00Z</dcterms:created>
  <dcterms:modified xsi:type="dcterms:W3CDTF">2024-10-01T08:42:00Z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